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F9945" w14:textId="77777777" w:rsidR="007E4E0F" w:rsidRPr="00225669" w:rsidRDefault="00591BDA" w:rsidP="00137DFE">
      <w:pPr>
        <w:widowControl w:val="0"/>
        <w:autoSpaceDE w:val="0"/>
        <w:autoSpaceDN w:val="0"/>
        <w:adjustRightInd w:val="0"/>
        <w:jc w:val="both"/>
        <w:rPr>
          <w:rFonts w:eastAsia="Times New Roman" w:cs="Arial"/>
        </w:rPr>
      </w:pPr>
      <w:r w:rsidRPr="00225669">
        <w:rPr>
          <w:rFonts w:eastAsia="Times New Roman" w:cs="Arial"/>
          <w:noProof/>
          <w:lang w:val="en-US"/>
        </w:rPr>
        <w:drawing>
          <wp:inline distT="0" distB="0" distL="0" distR="0" wp14:anchorId="5BD0B8DE" wp14:editId="71510DDD">
            <wp:extent cx="1776095" cy="732790"/>
            <wp:effectExtent l="0" t="0" r="190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095" cy="732790"/>
                    </a:xfrm>
                    <a:prstGeom prst="rect">
                      <a:avLst/>
                    </a:prstGeom>
                    <a:noFill/>
                    <a:ln>
                      <a:noFill/>
                    </a:ln>
                  </pic:spPr>
                </pic:pic>
              </a:graphicData>
            </a:graphic>
          </wp:inline>
        </w:drawing>
      </w:r>
    </w:p>
    <w:p w14:paraId="0057A3E4" w14:textId="77777777" w:rsidR="007E4E0F" w:rsidRPr="00225669" w:rsidRDefault="007E4E0F" w:rsidP="00137DFE">
      <w:pPr>
        <w:widowControl w:val="0"/>
        <w:autoSpaceDE w:val="0"/>
        <w:autoSpaceDN w:val="0"/>
        <w:adjustRightInd w:val="0"/>
        <w:jc w:val="both"/>
        <w:rPr>
          <w:rFonts w:eastAsia="Times New Roman" w:cs="Arial"/>
        </w:rPr>
      </w:pPr>
    </w:p>
    <w:p w14:paraId="3D3721AB" w14:textId="77777777" w:rsidR="007E4E0F" w:rsidRPr="00225669" w:rsidRDefault="007E4E0F" w:rsidP="00137DFE">
      <w:pPr>
        <w:widowControl w:val="0"/>
        <w:autoSpaceDE w:val="0"/>
        <w:autoSpaceDN w:val="0"/>
        <w:adjustRightInd w:val="0"/>
        <w:jc w:val="both"/>
        <w:rPr>
          <w:rFonts w:eastAsia="Times New Roman" w:cs="Arial"/>
        </w:rPr>
      </w:pPr>
    </w:p>
    <w:p w14:paraId="07136DAD" w14:textId="77777777" w:rsidR="007E4E0F" w:rsidRPr="00225669" w:rsidRDefault="007E4E0F" w:rsidP="00137DFE">
      <w:pPr>
        <w:widowControl w:val="0"/>
        <w:autoSpaceDE w:val="0"/>
        <w:autoSpaceDN w:val="0"/>
        <w:adjustRightInd w:val="0"/>
        <w:jc w:val="both"/>
        <w:rPr>
          <w:rFonts w:eastAsia="Times New Roman" w:cs="Arial"/>
        </w:rPr>
      </w:pPr>
    </w:p>
    <w:p w14:paraId="0F632B77" w14:textId="77777777" w:rsidR="007E4E0F" w:rsidRPr="00225669" w:rsidRDefault="007E4E0F" w:rsidP="00137DFE">
      <w:pPr>
        <w:widowControl w:val="0"/>
        <w:autoSpaceDE w:val="0"/>
        <w:autoSpaceDN w:val="0"/>
        <w:adjustRightInd w:val="0"/>
        <w:jc w:val="both"/>
        <w:rPr>
          <w:rFonts w:eastAsia="Times New Roman" w:cs="Arial"/>
        </w:rPr>
      </w:pPr>
    </w:p>
    <w:p w14:paraId="6A872EBF" w14:textId="77777777" w:rsidR="007E4E0F" w:rsidRPr="00225669" w:rsidRDefault="007E4E0F" w:rsidP="00137DFE">
      <w:pPr>
        <w:widowControl w:val="0"/>
        <w:autoSpaceDE w:val="0"/>
        <w:autoSpaceDN w:val="0"/>
        <w:adjustRightInd w:val="0"/>
        <w:jc w:val="both"/>
        <w:rPr>
          <w:rFonts w:eastAsia="Times New Roman" w:cs="Arial"/>
        </w:rPr>
      </w:pPr>
    </w:p>
    <w:p w14:paraId="5F195044" w14:textId="77777777" w:rsidR="007E4E0F" w:rsidRPr="00225669" w:rsidRDefault="007E4E0F" w:rsidP="00137DFE">
      <w:pPr>
        <w:widowControl w:val="0"/>
        <w:autoSpaceDE w:val="0"/>
        <w:autoSpaceDN w:val="0"/>
        <w:adjustRightInd w:val="0"/>
        <w:jc w:val="both"/>
        <w:rPr>
          <w:rFonts w:eastAsia="Times New Roman" w:cs="Arial"/>
        </w:rPr>
      </w:pPr>
    </w:p>
    <w:p w14:paraId="69293CB5" w14:textId="77777777" w:rsidR="007E4E0F" w:rsidRPr="00225669" w:rsidRDefault="007E4E0F" w:rsidP="00137DFE">
      <w:pPr>
        <w:widowControl w:val="0"/>
        <w:autoSpaceDE w:val="0"/>
        <w:autoSpaceDN w:val="0"/>
        <w:adjustRightInd w:val="0"/>
        <w:jc w:val="both"/>
        <w:rPr>
          <w:rFonts w:eastAsia="Times New Roman" w:cs="Arial"/>
        </w:rPr>
      </w:pPr>
    </w:p>
    <w:p w14:paraId="6E0ADD31" w14:textId="77777777" w:rsidR="00FE173F" w:rsidRPr="00225669" w:rsidRDefault="00FE173F" w:rsidP="00137DFE">
      <w:pPr>
        <w:widowControl w:val="0"/>
        <w:autoSpaceDE w:val="0"/>
        <w:autoSpaceDN w:val="0"/>
        <w:adjustRightInd w:val="0"/>
        <w:jc w:val="both"/>
        <w:rPr>
          <w:rFonts w:eastAsia="Times New Roman" w:cs="Arial"/>
        </w:rPr>
      </w:pPr>
    </w:p>
    <w:p w14:paraId="31D4A127" w14:textId="77777777" w:rsidR="00FE173F" w:rsidRPr="00225669" w:rsidRDefault="00FE173F" w:rsidP="00137DFE">
      <w:pPr>
        <w:widowControl w:val="0"/>
        <w:autoSpaceDE w:val="0"/>
        <w:autoSpaceDN w:val="0"/>
        <w:adjustRightInd w:val="0"/>
        <w:jc w:val="both"/>
        <w:rPr>
          <w:rFonts w:eastAsia="Times New Roman" w:cs="Arial"/>
        </w:rPr>
      </w:pPr>
    </w:p>
    <w:p w14:paraId="453734DA" w14:textId="77777777" w:rsidR="00FE173F" w:rsidRPr="00225669" w:rsidRDefault="00FE173F" w:rsidP="00137DFE">
      <w:pPr>
        <w:widowControl w:val="0"/>
        <w:autoSpaceDE w:val="0"/>
        <w:autoSpaceDN w:val="0"/>
        <w:adjustRightInd w:val="0"/>
        <w:jc w:val="both"/>
        <w:rPr>
          <w:rFonts w:eastAsia="Times New Roman" w:cs="Arial"/>
        </w:rPr>
      </w:pPr>
    </w:p>
    <w:p w14:paraId="71F3674F" w14:textId="77777777" w:rsidR="00FE173F" w:rsidRPr="00225669" w:rsidRDefault="00FE173F" w:rsidP="00137DFE">
      <w:pPr>
        <w:widowControl w:val="0"/>
        <w:autoSpaceDE w:val="0"/>
        <w:autoSpaceDN w:val="0"/>
        <w:adjustRightInd w:val="0"/>
        <w:jc w:val="both"/>
        <w:rPr>
          <w:rFonts w:eastAsia="Times New Roman" w:cs="Arial"/>
        </w:rPr>
      </w:pPr>
    </w:p>
    <w:p w14:paraId="21CF32EB" w14:textId="77777777" w:rsidR="00FE173F" w:rsidRPr="00225669" w:rsidRDefault="00FE173F" w:rsidP="00137DFE">
      <w:pPr>
        <w:widowControl w:val="0"/>
        <w:autoSpaceDE w:val="0"/>
        <w:autoSpaceDN w:val="0"/>
        <w:adjustRightInd w:val="0"/>
        <w:jc w:val="both"/>
        <w:rPr>
          <w:rFonts w:eastAsia="Times New Roman" w:cs="Arial"/>
        </w:rPr>
      </w:pPr>
    </w:p>
    <w:p w14:paraId="24E12688" w14:textId="77777777" w:rsidR="00984E02" w:rsidRPr="00225669" w:rsidRDefault="00984E02" w:rsidP="00137DFE">
      <w:pPr>
        <w:widowControl w:val="0"/>
        <w:autoSpaceDE w:val="0"/>
        <w:autoSpaceDN w:val="0"/>
        <w:adjustRightInd w:val="0"/>
        <w:jc w:val="both"/>
        <w:rPr>
          <w:rFonts w:eastAsia="Times New Roman" w:cs="Arial"/>
        </w:rPr>
      </w:pPr>
    </w:p>
    <w:p w14:paraId="6C8FFBFB" w14:textId="77777777" w:rsidR="00591BDA" w:rsidRPr="00225669" w:rsidRDefault="00702FC2" w:rsidP="00137DFE">
      <w:pPr>
        <w:widowControl w:val="0"/>
        <w:autoSpaceDE w:val="0"/>
        <w:autoSpaceDN w:val="0"/>
        <w:adjustRightInd w:val="0"/>
        <w:jc w:val="both"/>
        <w:rPr>
          <w:rFonts w:eastAsia="Times New Roman" w:cs="Arial"/>
          <w:color w:val="215868" w:themeColor="accent5" w:themeShade="80"/>
          <w:sz w:val="56"/>
          <w:szCs w:val="56"/>
        </w:rPr>
      </w:pPr>
      <w:r w:rsidRPr="00225669">
        <w:rPr>
          <w:rFonts w:eastAsia="Times New Roman" w:cs="Arial"/>
          <w:color w:val="215868" w:themeColor="accent5" w:themeShade="80"/>
          <w:sz w:val="56"/>
          <w:szCs w:val="56"/>
        </w:rPr>
        <w:t>POLITICAL ECONOMY ANALYSIS</w:t>
      </w:r>
    </w:p>
    <w:p w14:paraId="6AC2BE72" w14:textId="77777777" w:rsidR="00D77467" w:rsidRPr="00225669" w:rsidRDefault="00E16080" w:rsidP="00137DFE">
      <w:pPr>
        <w:widowControl w:val="0"/>
        <w:autoSpaceDE w:val="0"/>
        <w:autoSpaceDN w:val="0"/>
        <w:adjustRightInd w:val="0"/>
        <w:jc w:val="both"/>
        <w:rPr>
          <w:rFonts w:eastAsia="Times New Roman" w:cs="Arial"/>
          <w:color w:val="17365D" w:themeColor="text2" w:themeShade="BF"/>
        </w:rPr>
      </w:pPr>
      <w:r w:rsidRPr="00225669">
        <w:rPr>
          <w:rFonts w:eastAsia="Times New Roman" w:cs="Arial"/>
          <w:color w:val="17365D" w:themeColor="text2" w:themeShade="BF"/>
          <w:sz w:val="28"/>
        </w:rPr>
        <w:t>on the funds set up by the Federal Government of Nigeria to reduce unrest in the Niger Delta.</w:t>
      </w:r>
    </w:p>
    <w:p w14:paraId="4C111BC4" w14:textId="77777777" w:rsidR="00984E02" w:rsidRPr="00225669" w:rsidRDefault="00984E02" w:rsidP="00137DFE">
      <w:pPr>
        <w:widowControl w:val="0"/>
        <w:autoSpaceDE w:val="0"/>
        <w:autoSpaceDN w:val="0"/>
        <w:adjustRightInd w:val="0"/>
        <w:jc w:val="both"/>
        <w:rPr>
          <w:rFonts w:eastAsia="Times New Roman" w:cs="Arial"/>
        </w:rPr>
      </w:pPr>
    </w:p>
    <w:p w14:paraId="47630DD0" w14:textId="77777777" w:rsidR="00B705FD" w:rsidRPr="00225669" w:rsidRDefault="00B705FD" w:rsidP="00137DFE">
      <w:pPr>
        <w:widowControl w:val="0"/>
        <w:autoSpaceDE w:val="0"/>
        <w:autoSpaceDN w:val="0"/>
        <w:adjustRightInd w:val="0"/>
        <w:jc w:val="both"/>
        <w:rPr>
          <w:rFonts w:eastAsia="Times New Roman" w:cs="Arial"/>
        </w:rPr>
      </w:pPr>
    </w:p>
    <w:p w14:paraId="3E15B5B6" w14:textId="77777777" w:rsidR="00B705FD" w:rsidRPr="00225669" w:rsidRDefault="00B705FD" w:rsidP="00137DFE">
      <w:pPr>
        <w:widowControl w:val="0"/>
        <w:autoSpaceDE w:val="0"/>
        <w:autoSpaceDN w:val="0"/>
        <w:adjustRightInd w:val="0"/>
        <w:jc w:val="both"/>
        <w:rPr>
          <w:rFonts w:eastAsia="Times New Roman" w:cs="Arial"/>
        </w:rPr>
      </w:pPr>
    </w:p>
    <w:p w14:paraId="61E8D617" w14:textId="4F7305F7" w:rsidR="00984E02" w:rsidRPr="00225669" w:rsidRDefault="005B6F40" w:rsidP="00137DFE">
      <w:pPr>
        <w:widowControl w:val="0"/>
        <w:autoSpaceDE w:val="0"/>
        <w:autoSpaceDN w:val="0"/>
        <w:adjustRightInd w:val="0"/>
        <w:jc w:val="both"/>
        <w:rPr>
          <w:rFonts w:eastAsia="Times New Roman" w:cs="Arial"/>
        </w:rPr>
      </w:pPr>
      <w:r w:rsidRPr="00225669">
        <w:rPr>
          <w:rFonts w:eastAsia="Times New Roman" w:cs="Arial"/>
        </w:rPr>
        <w:t>December 14</w:t>
      </w:r>
      <w:r w:rsidR="00B705FD" w:rsidRPr="00225669">
        <w:rPr>
          <w:rFonts w:eastAsia="Times New Roman" w:cs="Arial"/>
        </w:rPr>
        <w:t>, 2015</w:t>
      </w:r>
    </w:p>
    <w:p w14:paraId="3C6A1B6E" w14:textId="77777777" w:rsidR="00984E02" w:rsidRPr="00225669" w:rsidRDefault="00984E02" w:rsidP="00137DFE">
      <w:pPr>
        <w:widowControl w:val="0"/>
        <w:autoSpaceDE w:val="0"/>
        <w:autoSpaceDN w:val="0"/>
        <w:adjustRightInd w:val="0"/>
        <w:jc w:val="both"/>
        <w:rPr>
          <w:rFonts w:eastAsia="Times New Roman" w:cs="Arial"/>
        </w:rPr>
      </w:pPr>
    </w:p>
    <w:p w14:paraId="4DAB1417" w14:textId="77777777" w:rsidR="00984E02" w:rsidRPr="00225669" w:rsidRDefault="00984E02" w:rsidP="00137DFE">
      <w:pPr>
        <w:widowControl w:val="0"/>
        <w:autoSpaceDE w:val="0"/>
        <w:autoSpaceDN w:val="0"/>
        <w:adjustRightInd w:val="0"/>
        <w:jc w:val="both"/>
        <w:rPr>
          <w:rFonts w:eastAsia="Times New Roman" w:cs="Arial"/>
        </w:rPr>
      </w:pPr>
    </w:p>
    <w:p w14:paraId="372E9AFC" w14:textId="77777777" w:rsidR="00214BE6" w:rsidRPr="00225669" w:rsidRDefault="00214BE6" w:rsidP="00137DFE">
      <w:pPr>
        <w:widowControl w:val="0"/>
        <w:autoSpaceDE w:val="0"/>
        <w:autoSpaceDN w:val="0"/>
        <w:adjustRightInd w:val="0"/>
        <w:jc w:val="both"/>
        <w:rPr>
          <w:rFonts w:eastAsia="Times New Roman" w:cs="Arial"/>
        </w:rPr>
      </w:pPr>
    </w:p>
    <w:p w14:paraId="11FC8D37" w14:textId="77777777" w:rsidR="00214BE6" w:rsidRPr="00225669" w:rsidRDefault="00214BE6" w:rsidP="00137DFE">
      <w:pPr>
        <w:widowControl w:val="0"/>
        <w:autoSpaceDE w:val="0"/>
        <w:autoSpaceDN w:val="0"/>
        <w:adjustRightInd w:val="0"/>
        <w:jc w:val="both"/>
        <w:rPr>
          <w:rFonts w:eastAsia="Times New Roman" w:cs="Arial"/>
        </w:rPr>
      </w:pPr>
    </w:p>
    <w:p w14:paraId="20C23E64" w14:textId="77777777" w:rsidR="00214BE6" w:rsidRPr="00225669" w:rsidRDefault="00214BE6" w:rsidP="00137DFE">
      <w:pPr>
        <w:widowControl w:val="0"/>
        <w:autoSpaceDE w:val="0"/>
        <w:autoSpaceDN w:val="0"/>
        <w:adjustRightInd w:val="0"/>
        <w:jc w:val="both"/>
        <w:rPr>
          <w:rFonts w:eastAsia="Times New Roman" w:cs="Arial"/>
        </w:rPr>
      </w:pPr>
    </w:p>
    <w:p w14:paraId="56E039C6" w14:textId="77777777" w:rsidR="00214BE6" w:rsidRPr="00225669" w:rsidRDefault="00214BE6" w:rsidP="00137DFE">
      <w:pPr>
        <w:widowControl w:val="0"/>
        <w:autoSpaceDE w:val="0"/>
        <w:autoSpaceDN w:val="0"/>
        <w:adjustRightInd w:val="0"/>
        <w:jc w:val="both"/>
        <w:rPr>
          <w:rFonts w:eastAsia="Times New Roman" w:cs="Arial"/>
        </w:rPr>
      </w:pPr>
    </w:p>
    <w:p w14:paraId="73154AA7" w14:textId="77777777" w:rsidR="007E4E0F" w:rsidRPr="00225669" w:rsidRDefault="007E4E0F" w:rsidP="00137DFE">
      <w:pPr>
        <w:widowControl w:val="0"/>
        <w:autoSpaceDE w:val="0"/>
        <w:autoSpaceDN w:val="0"/>
        <w:adjustRightInd w:val="0"/>
        <w:jc w:val="both"/>
        <w:rPr>
          <w:rFonts w:eastAsia="Times New Roman" w:cs="Arial"/>
        </w:rPr>
      </w:pPr>
    </w:p>
    <w:p w14:paraId="12DDCDD3" w14:textId="77777777" w:rsidR="00214BE6" w:rsidRPr="00225669" w:rsidRDefault="00214BE6" w:rsidP="00137DFE">
      <w:pPr>
        <w:widowControl w:val="0"/>
        <w:autoSpaceDE w:val="0"/>
        <w:autoSpaceDN w:val="0"/>
        <w:adjustRightInd w:val="0"/>
        <w:jc w:val="both"/>
        <w:rPr>
          <w:rFonts w:eastAsia="Times New Roman" w:cs="Arial"/>
          <w:b/>
          <w:color w:val="548DD4" w:themeColor="text2" w:themeTint="99"/>
          <w:sz w:val="20"/>
        </w:rPr>
      </w:pPr>
      <w:r w:rsidRPr="00225669">
        <w:rPr>
          <w:rFonts w:eastAsia="Times New Roman" w:cs="Arial"/>
          <w:b/>
          <w:color w:val="548DD4" w:themeColor="text2" w:themeTint="99"/>
          <w:sz w:val="20"/>
        </w:rPr>
        <w:t>Nextier</w:t>
      </w:r>
    </w:p>
    <w:p w14:paraId="622DD385" w14:textId="77777777" w:rsidR="00214BE6" w:rsidRPr="00225669" w:rsidRDefault="00214BE6" w:rsidP="00137DFE">
      <w:pPr>
        <w:widowControl w:val="0"/>
        <w:autoSpaceDE w:val="0"/>
        <w:autoSpaceDN w:val="0"/>
        <w:adjustRightInd w:val="0"/>
        <w:jc w:val="both"/>
        <w:rPr>
          <w:rFonts w:eastAsia="Times New Roman" w:cs="Arial"/>
          <w:sz w:val="16"/>
        </w:rPr>
      </w:pPr>
      <w:r w:rsidRPr="00225669">
        <w:rPr>
          <w:rFonts w:eastAsia="Times New Roman" w:cs="Arial"/>
          <w:sz w:val="16"/>
        </w:rPr>
        <w:t>41a, Libreville Crescent, Off Aminu Kano Street,</w:t>
      </w:r>
    </w:p>
    <w:p w14:paraId="1318742E" w14:textId="77777777" w:rsidR="00214BE6" w:rsidRPr="00225669" w:rsidRDefault="00CB3592" w:rsidP="00137DFE">
      <w:pPr>
        <w:widowControl w:val="0"/>
        <w:autoSpaceDE w:val="0"/>
        <w:autoSpaceDN w:val="0"/>
        <w:adjustRightInd w:val="0"/>
        <w:jc w:val="both"/>
        <w:rPr>
          <w:rFonts w:eastAsia="Times New Roman" w:cs="Arial"/>
          <w:sz w:val="16"/>
        </w:rPr>
      </w:pPr>
      <w:r w:rsidRPr="00225669">
        <w:rPr>
          <w:rFonts w:eastAsia="Times New Roman" w:cs="Arial"/>
          <w:sz w:val="16"/>
        </w:rPr>
        <w:t>Wuse 2, Abuja, Nigeria</w:t>
      </w:r>
    </w:p>
    <w:p w14:paraId="2C2DBA8A" w14:textId="77777777" w:rsidR="00214BE6" w:rsidRPr="00225669" w:rsidRDefault="00CB3592" w:rsidP="00137DFE">
      <w:pPr>
        <w:widowControl w:val="0"/>
        <w:autoSpaceDE w:val="0"/>
        <w:autoSpaceDN w:val="0"/>
        <w:adjustRightInd w:val="0"/>
        <w:jc w:val="both"/>
        <w:rPr>
          <w:rFonts w:eastAsia="Times New Roman" w:cs="Arial"/>
          <w:sz w:val="16"/>
        </w:rPr>
      </w:pPr>
      <w:r w:rsidRPr="00225669">
        <w:rPr>
          <w:rFonts w:eastAsia="Times New Roman" w:cs="Arial"/>
          <w:sz w:val="16"/>
        </w:rPr>
        <w:t>+234 701 002 7301</w:t>
      </w:r>
    </w:p>
    <w:p w14:paraId="715A11F4" w14:textId="77777777" w:rsidR="00214BE6" w:rsidRPr="00225669" w:rsidRDefault="00CB3592" w:rsidP="00137DFE">
      <w:pPr>
        <w:widowControl w:val="0"/>
        <w:autoSpaceDE w:val="0"/>
        <w:autoSpaceDN w:val="0"/>
        <w:adjustRightInd w:val="0"/>
        <w:jc w:val="both"/>
        <w:rPr>
          <w:rFonts w:eastAsia="Times New Roman" w:cs="Arial"/>
          <w:sz w:val="16"/>
        </w:rPr>
      </w:pPr>
      <w:r w:rsidRPr="00225669">
        <w:rPr>
          <w:rFonts w:eastAsia="Times New Roman" w:cs="Arial"/>
          <w:sz w:val="16"/>
        </w:rPr>
        <w:t>info@nextierlimited.com</w:t>
      </w:r>
    </w:p>
    <w:p w14:paraId="276FA4F8" w14:textId="77777777" w:rsidR="007E4E0F" w:rsidRPr="00225669" w:rsidRDefault="00214BE6" w:rsidP="00137DFE">
      <w:pPr>
        <w:widowControl w:val="0"/>
        <w:autoSpaceDE w:val="0"/>
        <w:autoSpaceDN w:val="0"/>
        <w:adjustRightInd w:val="0"/>
        <w:jc w:val="both"/>
        <w:rPr>
          <w:rFonts w:eastAsia="Times New Roman" w:cs="Arial"/>
          <w:sz w:val="16"/>
        </w:rPr>
      </w:pPr>
      <w:r w:rsidRPr="00225669">
        <w:rPr>
          <w:rFonts w:eastAsia="Times New Roman" w:cs="Arial"/>
          <w:sz w:val="16"/>
        </w:rPr>
        <w:t>www.nextierlimited.com</w:t>
      </w:r>
    </w:p>
    <w:p w14:paraId="01188428" w14:textId="77777777" w:rsidR="00BC017E" w:rsidRPr="00225669" w:rsidRDefault="00BC017E" w:rsidP="00137DFE">
      <w:pPr>
        <w:widowControl w:val="0"/>
        <w:autoSpaceDE w:val="0"/>
        <w:autoSpaceDN w:val="0"/>
        <w:adjustRightInd w:val="0"/>
        <w:jc w:val="both"/>
        <w:rPr>
          <w:rFonts w:eastAsia="Times New Roman" w:cs="Arial"/>
        </w:rPr>
      </w:pPr>
      <w:r w:rsidRPr="00225669">
        <w:rPr>
          <w:rFonts w:cs="Arial"/>
        </w:rPr>
        <w:br w:type="page"/>
      </w:r>
    </w:p>
    <w:p w14:paraId="24929FA4" w14:textId="77777777" w:rsidR="00FE173F" w:rsidRPr="00225669" w:rsidRDefault="00FE173F" w:rsidP="00137DFE">
      <w:pPr>
        <w:widowControl w:val="0"/>
        <w:autoSpaceDE w:val="0"/>
        <w:autoSpaceDN w:val="0"/>
        <w:adjustRightInd w:val="0"/>
        <w:jc w:val="both"/>
        <w:rPr>
          <w:rFonts w:eastAsia="Times New Roman" w:cs="Arial"/>
          <w:sz w:val="22"/>
        </w:rPr>
      </w:pPr>
    </w:p>
    <w:p w14:paraId="28031765" w14:textId="77777777" w:rsidR="00FE173F" w:rsidRPr="00225669" w:rsidRDefault="00FE173F" w:rsidP="00137DFE">
      <w:pPr>
        <w:widowControl w:val="0"/>
        <w:autoSpaceDE w:val="0"/>
        <w:autoSpaceDN w:val="0"/>
        <w:adjustRightInd w:val="0"/>
        <w:jc w:val="both"/>
        <w:rPr>
          <w:rFonts w:eastAsia="Times New Roman" w:cs="Arial"/>
          <w:sz w:val="22"/>
        </w:rPr>
      </w:pPr>
    </w:p>
    <w:p w14:paraId="19A5413E" w14:textId="77777777" w:rsidR="00FE173F" w:rsidRPr="00225669" w:rsidRDefault="00FE173F" w:rsidP="00137DFE">
      <w:pPr>
        <w:widowControl w:val="0"/>
        <w:autoSpaceDE w:val="0"/>
        <w:autoSpaceDN w:val="0"/>
        <w:adjustRightInd w:val="0"/>
        <w:jc w:val="both"/>
        <w:rPr>
          <w:rFonts w:eastAsia="Times New Roman" w:cs="Arial"/>
          <w:sz w:val="22"/>
        </w:rPr>
      </w:pPr>
    </w:p>
    <w:p w14:paraId="73C4A48D" w14:textId="77777777" w:rsidR="00FE173F" w:rsidRPr="00225669" w:rsidRDefault="00FE173F" w:rsidP="00137DFE">
      <w:pPr>
        <w:widowControl w:val="0"/>
        <w:autoSpaceDE w:val="0"/>
        <w:autoSpaceDN w:val="0"/>
        <w:adjustRightInd w:val="0"/>
        <w:jc w:val="both"/>
        <w:rPr>
          <w:rFonts w:eastAsia="Times New Roman" w:cs="Arial"/>
          <w:sz w:val="22"/>
        </w:rPr>
      </w:pPr>
    </w:p>
    <w:p w14:paraId="59E9A02E" w14:textId="77777777" w:rsidR="00FE173F" w:rsidRPr="00225669" w:rsidRDefault="00FE173F" w:rsidP="00137DFE">
      <w:pPr>
        <w:widowControl w:val="0"/>
        <w:autoSpaceDE w:val="0"/>
        <w:autoSpaceDN w:val="0"/>
        <w:adjustRightInd w:val="0"/>
        <w:jc w:val="both"/>
        <w:rPr>
          <w:rFonts w:eastAsia="Times New Roman" w:cs="Arial"/>
          <w:sz w:val="22"/>
        </w:rPr>
      </w:pPr>
    </w:p>
    <w:p w14:paraId="72B2FCF8" w14:textId="77777777" w:rsidR="00BC017E" w:rsidRPr="00225669" w:rsidRDefault="00BC017E" w:rsidP="00137DFE">
      <w:pPr>
        <w:widowControl w:val="0"/>
        <w:autoSpaceDE w:val="0"/>
        <w:autoSpaceDN w:val="0"/>
        <w:adjustRightInd w:val="0"/>
        <w:jc w:val="both"/>
        <w:rPr>
          <w:rFonts w:eastAsia="Times New Roman" w:cs="Arial"/>
          <w:b/>
          <w:sz w:val="22"/>
        </w:rPr>
      </w:pPr>
      <w:r w:rsidRPr="00225669">
        <w:rPr>
          <w:rFonts w:eastAsia="Times New Roman" w:cs="Arial"/>
          <w:b/>
          <w:sz w:val="22"/>
        </w:rPr>
        <w:t>Project Team</w:t>
      </w:r>
    </w:p>
    <w:p w14:paraId="579FA463" w14:textId="77777777" w:rsidR="00255260" w:rsidRPr="00225669" w:rsidRDefault="00255260" w:rsidP="00137DFE">
      <w:pPr>
        <w:widowControl w:val="0"/>
        <w:autoSpaceDE w:val="0"/>
        <w:autoSpaceDN w:val="0"/>
        <w:adjustRightInd w:val="0"/>
        <w:jc w:val="both"/>
        <w:rPr>
          <w:rFonts w:eastAsia="Times New Roman" w:cs="Arial"/>
          <w:sz w:val="22"/>
        </w:rPr>
      </w:pPr>
    </w:p>
    <w:p w14:paraId="22725231" w14:textId="77777777" w:rsidR="00255260" w:rsidRPr="00225669" w:rsidRDefault="00B705FD" w:rsidP="00137DFE">
      <w:pPr>
        <w:widowControl w:val="0"/>
        <w:autoSpaceDE w:val="0"/>
        <w:autoSpaceDN w:val="0"/>
        <w:adjustRightInd w:val="0"/>
        <w:jc w:val="both"/>
        <w:rPr>
          <w:rFonts w:eastAsia="Times New Roman" w:cs="Arial"/>
          <w:sz w:val="22"/>
        </w:rPr>
      </w:pPr>
      <w:r w:rsidRPr="00225669">
        <w:rPr>
          <w:rFonts w:eastAsia="Times New Roman" w:cs="Arial"/>
          <w:sz w:val="22"/>
        </w:rPr>
        <w:t>Charles</w:t>
      </w:r>
      <w:r w:rsidR="000753D9" w:rsidRPr="00225669">
        <w:rPr>
          <w:rFonts w:eastAsia="Times New Roman" w:cs="Arial"/>
          <w:sz w:val="22"/>
        </w:rPr>
        <w:t xml:space="preserve"> C</w:t>
      </w:r>
      <w:r w:rsidR="00B532B6" w:rsidRPr="00225669">
        <w:rPr>
          <w:rFonts w:eastAsia="Times New Roman" w:cs="Arial"/>
          <w:sz w:val="22"/>
        </w:rPr>
        <w:t>.</w:t>
      </w:r>
      <w:r w:rsidRPr="00225669">
        <w:rPr>
          <w:rFonts w:eastAsia="Times New Roman" w:cs="Arial"/>
          <w:sz w:val="22"/>
        </w:rPr>
        <w:t xml:space="preserve"> Achodo</w:t>
      </w:r>
    </w:p>
    <w:p w14:paraId="16C7EEAE" w14:textId="77777777" w:rsidR="00BC017E" w:rsidRPr="00225669" w:rsidRDefault="00B705FD" w:rsidP="00137DFE">
      <w:pPr>
        <w:widowControl w:val="0"/>
        <w:autoSpaceDE w:val="0"/>
        <w:autoSpaceDN w:val="0"/>
        <w:adjustRightInd w:val="0"/>
        <w:jc w:val="both"/>
        <w:rPr>
          <w:rFonts w:eastAsia="Times New Roman" w:cs="Arial"/>
          <w:sz w:val="22"/>
        </w:rPr>
      </w:pPr>
      <w:r w:rsidRPr="00225669">
        <w:rPr>
          <w:rFonts w:eastAsia="Times New Roman" w:cs="Arial"/>
          <w:sz w:val="22"/>
        </w:rPr>
        <w:t xml:space="preserve">Eniwoareke </w:t>
      </w:r>
      <w:r w:rsidR="000753D9" w:rsidRPr="00225669">
        <w:rPr>
          <w:rFonts w:eastAsia="Times New Roman" w:cs="Arial"/>
          <w:sz w:val="22"/>
        </w:rPr>
        <w:t xml:space="preserve">O. </w:t>
      </w:r>
      <w:r w:rsidRPr="00225669">
        <w:rPr>
          <w:rFonts w:eastAsia="Times New Roman" w:cs="Arial"/>
          <w:sz w:val="22"/>
        </w:rPr>
        <w:t>Egbeme</w:t>
      </w:r>
    </w:p>
    <w:p w14:paraId="0F1C4AA0" w14:textId="77777777" w:rsidR="00BC017E" w:rsidRPr="00225669" w:rsidRDefault="00255260" w:rsidP="00137DFE">
      <w:pPr>
        <w:widowControl w:val="0"/>
        <w:autoSpaceDE w:val="0"/>
        <w:autoSpaceDN w:val="0"/>
        <w:adjustRightInd w:val="0"/>
        <w:jc w:val="both"/>
        <w:rPr>
          <w:rFonts w:eastAsia="Times New Roman" w:cs="Arial"/>
          <w:sz w:val="22"/>
        </w:rPr>
      </w:pPr>
      <w:r w:rsidRPr="00225669">
        <w:rPr>
          <w:rFonts w:eastAsia="Times New Roman" w:cs="Arial"/>
          <w:sz w:val="22"/>
        </w:rPr>
        <w:t>Patrick O. Okigbo III</w:t>
      </w:r>
    </w:p>
    <w:p w14:paraId="4B67A58E" w14:textId="77777777" w:rsidR="00BC017E" w:rsidRPr="00225669" w:rsidRDefault="00BC017E" w:rsidP="00137DFE">
      <w:pPr>
        <w:widowControl w:val="0"/>
        <w:autoSpaceDE w:val="0"/>
        <w:autoSpaceDN w:val="0"/>
        <w:adjustRightInd w:val="0"/>
        <w:jc w:val="both"/>
        <w:rPr>
          <w:rFonts w:eastAsia="Times New Roman" w:cs="Arial"/>
          <w:sz w:val="18"/>
        </w:rPr>
      </w:pPr>
    </w:p>
    <w:p w14:paraId="624712B9" w14:textId="77777777" w:rsidR="00BC017E" w:rsidRPr="00225669" w:rsidRDefault="00BC017E" w:rsidP="00137DFE">
      <w:pPr>
        <w:widowControl w:val="0"/>
        <w:autoSpaceDE w:val="0"/>
        <w:autoSpaceDN w:val="0"/>
        <w:adjustRightInd w:val="0"/>
        <w:jc w:val="both"/>
        <w:rPr>
          <w:rFonts w:eastAsia="Times New Roman" w:cs="Arial"/>
          <w:sz w:val="18"/>
        </w:rPr>
      </w:pPr>
    </w:p>
    <w:p w14:paraId="5BA630C0" w14:textId="77777777" w:rsidR="00736D4E" w:rsidRPr="00225669" w:rsidRDefault="00736D4E" w:rsidP="00137DFE">
      <w:pPr>
        <w:widowControl w:val="0"/>
        <w:autoSpaceDE w:val="0"/>
        <w:autoSpaceDN w:val="0"/>
        <w:adjustRightInd w:val="0"/>
        <w:jc w:val="both"/>
        <w:rPr>
          <w:rFonts w:eastAsia="Times New Roman" w:cs="Arial"/>
          <w:sz w:val="18"/>
        </w:rPr>
      </w:pPr>
    </w:p>
    <w:p w14:paraId="11A92506" w14:textId="77777777" w:rsidR="00736D4E" w:rsidRPr="00225669" w:rsidRDefault="00736D4E" w:rsidP="00137DFE">
      <w:pPr>
        <w:widowControl w:val="0"/>
        <w:autoSpaceDE w:val="0"/>
        <w:autoSpaceDN w:val="0"/>
        <w:adjustRightInd w:val="0"/>
        <w:jc w:val="both"/>
        <w:rPr>
          <w:rFonts w:eastAsia="Times New Roman" w:cs="Arial"/>
          <w:sz w:val="18"/>
        </w:rPr>
      </w:pPr>
    </w:p>
    <w:p w14:paraId="20FE008B" w14:textId="77777777" w:rsidR="00736D4E" w:rsidRPr="00225669" w:rsidRDefault="00736D4E" w:rsidP="00137DFE">
      <w:pPr>
        <w:widowControl w:val="0"/>
        <w:autoSpaceDE w:val="0"/>
        <w:autoSpaceDN w:val="0"/>
        <w:adjustRightInd w:val="0"/>
        <w:jc w:val="both"/>
        <w:rPr>
          <w:rFonts w:eastAsia="Times New Roman" w:cs="Arial"/>
          <w:sz w:val="18"/>
        </w:rPr>
      </w:pPr>
    </w:p>
    <w:p w14:paraId="4B679229" w14:textId="77777777" w:rsidR="00736D4E" w:rsidRPr="00225669" w:rsidRDefault="00736D4E" w:rsidP="00137DFE">
      <w:pPr>
        <w:widowControl w:val="0"/>
        <w:autoSpaceDE w:val="0"/>
        <w:autoSpaceDN w:val="0"/>
        <w:adjustRightInd w:val="0"/>
        <w:jc w:val="both"/>
        <w:rPr>
          <w:rFonts w:eastAsia="Times New Roman" w:cs="Arial"/>
          <w:sz w:val="18"/>
        </w:rPr>
      </w:pPr>
    </w:p>
    <w:p w14:paraId="5F5F1B8A" w14:textId="77777777" w:rsidR="00736D4E" w:rsidRPr="00225669" w:rsidRDefault="00736D4E" w:rsidP="00137DFE">
      <w:pPr>
        <w:widowControl w:val="0"/>
        <w:autoSpaceDE w:val="0"/>
        <w:autoSpaceDN w:val="0"/>
        <w:adjustRightInd w:val="0"/>
        <w:jc w:val="both"/>
        <w:rPr>
          <w:rFonts w:eastAsia="Times New Roman" w:cs="Arial"/>
          <w:sz w:val="18"/>
        </w:rPr>
      </w:pPr>
    </w:p>
    <w:p w14:paraId="5EB06582" w14:textId="77777777" w:rsidR="00736D4E" w:rsidRPr="00225669" w:rsidRDefault="00736D4E" w:rsidP="00137DFE">
      <w:pPr>
        <w:widowControl w:val="0"/>
        <w:autoSpaceDE w:val="0"/>
        <w:autoSpaceDN w:val="0"/>
        <w:adjustRightInd w:val="0"/>
        <w:jc w:val="both"/>
        <w:rPr>
          <w:rFonts w:eastAsia="Times New Roman" w:cs="Arial"/>
          <w:sz w:val="18"/>
        </w:rPr>
      </w:pPr>
    </w:p>
    <w:p w14:paraId="3033070A" w14:textId="77777777" w:rsidR="00736D4E" w:rsidRPr="00225669" w:rsidRDefault="00736D4E" w:rsidP="00137DFE">
      <w:pPr>
        <w:widowControl w:val="0"/>
        <w:autoSpaceDE w:val="0"/>
        <w:autoSpaceDN w:val="0"/>
        <w:adjustRightInd w:val="0"/>
        <w:jc w:val="both"/>
        <w:rPr>
          <w:rFonts w:eastAsia="Times New Roman" w:cs="Arial"/>
          <w:sz w:val="18"/>
        </w:rPr>
      </w:pPr>
    </w:p>
    <w:p w14:paraId="30A1EA2B" w14:textId="77777777" w:rsidR="00736D4E" w:rsidRPr="00225669" w:rsidRDefault="00736D4E" w:rsidP="00137DFE">
      <w:pPr>
        <w:widowControl w:val="0"/>
        <w:autoSpaceDE w:val="0"/>
        <w:autoSpaceDN w:val="0"/>
        <w:adjustRightInd w:val="0"/>
        <w:jc w:val="both"/>
        <w:rPr>
          <w:rFonts w:eastAsia="Times New Roman" w:cs="Arial"/>
          <w:sz w:val="18"/>
        </w:rPr>
      </w:pPr>
    </w:p>
    <w:p w14:paraId="4EA13DCD" w14:textId="77777777" w:rsidR="008A4FD8" w:rsidRPr="00225669" w:rsidRDefault="008A4FD8" w:rsidP="00137DFE">
      <w:pPr>
        <w:widowControl w:val="0"/>
        <w:autoSpaceDE w:val="0"/>
        <w:autoSpaceDN w:val="0"/>
        <w:adjustRightInd w:val="0"/>
        <w:jc w:val="both"/>
        <w:rPr>
          <w:rFonts w:eastAsia="Times New Roman" w:cs="Arial"/>
          <w:sz w:val="18"/>
        </w:rPr>
      </w:pPr>
    </w:p>
    <w:p w14:paraId="1ACCB492" w14:textId="77777777" w:rsidR="008A4FD8" w:rsidRPr="00225669" w:rsidRDefault="008A4FD8" w:rsidP="00137DFE">
      <w:pPr>
        <w:widowControl w:val="0"/>
        <w:autoSpaceDE w:val="0"/>
        <w:autoSpaceDN w:val="0"/>
        <w:adjustRightInd w:val="0"/>
        <w:jc w:val="both"/>
        <w:rPr>
          <w:rFonts w:eastAsia="Times New Roman" w:cs="Arial"/>
          <w:sz w:val="18"/>
        </w:rPr>
      </w:pPr>
    </w:p>
    <w:p w14:paraId="3A380960" w14:textId="77777777" w:rsidR="008A4FD8" w:rsidRPr="00225669" w:rsidRDefault="008A4FD8" w:rsidP="00137DFE">
      <w:pPr>
        <w:widowControl w:val="0"/>
        <w:autoSpaceDE w:val="0"/>
        <w:autoSpaceDN w:val="0"/>
        <w:adjustRightInd w:val="0"/>
        <w:jc w:val="both"/>
        <w:rPr>
          <w:rFonts w:eastAsia="Times New Roman" w:cs="Arial"/>
          <w:sz w:val="18"/>
        </w:rPr>
      </w:pPr>
    </w:p>
    <w:p w14:paraId="12CC7488" w14:textId="77777777" w:rsidR="008A4FD8" w:rsidRPr="00225669" w:rsidRDefault="008A4FD8" w:rsidP="00137DFE">
      <w:pPr>
        <w:widowControl w:val="0"/>
        <w:autoSpaceDE w:val="0"/>
        <w:autoSpaceDN w:val="0"/>
        <w:adjustRightInd w:val="0"/>
        <w:jc w:val="both"/>
        <w:rPr>
          <w:rFonts w:eastAsia="Times New Roman" w:cs="Arial"/>
          <w:sz w:val="18"/>
        </w:rPr>
      </w:pPr>
    </w:p>
    <w:p w14:paraId="489F31EA" w14:textId="77777777" w:rsidR="008A4FD8" w:rsidRPr="00225669" w:rsidRDefault="008A4FD8" w:rsidP="00137DFE">
      <w:pPr>
        <w:widowControl w:val="0"/>
        <w:autoSpaceDE w:val="0"/>
        <w:autoSpaceDN w:val="0"/>
        <w:adjustRightInd w:val="0"/>
        <w:jc w:val="both"/>
        <w:rPr>
          <w:rFonts w:eastAsia="Times New Roman" w:cs="Arial"/>
          <w:sz w:val="18"/>
        </w:rPr>
      </w:pPr>
    </w:p>
    <w:p w14:paraId="1E4AB3CE" w14:textId="77777777" w:rsidR="008A4FD8" w:rsidRPr="00225669" w:rsidRDefault="008A4FD8" w:rsidP="00137DFE">
      <w:pPr>
        <w:widowControl w:val="0"/>
        <w:autoSpaceDE w:val="0"/>
        <w:autoSpaceDN w:val="0"/>
        <w:adjustRightInd w:val="0"/>
        <w:jc w:val="both"/>
        <w:rPr>
          <w:rFonts w:eastAsia="Times New Roman" w:cs="Arial"/>
          <w:sz w:val="18"/>
        </w:rPr>
      </w:pPr>
    </w:p>
    <w:p w14:paraId="32E0987D" w14:textId="77777777" w:rsidR="00736D4E" w:rsidRPr="00225669" w:rsidRDefault="00736D4E" w:rsidP="00137DFE">
      <w:pPr>
        <w:widowControl w:val="0"/>
        <w:autoSpaceDE w:val="0"/>
        <w:autoSpaceDN w:val="0"/>
        <w:adjustRightInd w:val="0"/>
        <w:jc w:val="both"/>
        <w:rPr>
          <w:rFonts w:eastAsia="Times New Roman" w:cs="Arial"/>
          <w:sz w:val="18"/>
        </w:rPr>
      </w:pPr>
    </w:p>
    <w:p w14:paraId="6D46C528" w14:textId="77777777" w:rsidR="00736D4E" w:rsidRPr="00225669" w:rsidRDefault="00736D4E" w:rsidP="00137DFE">
      <w:pPr>
        <w:widowControl w:val="0"/>
        <w:autoSpaceDE w:val="0"/>
        <w:autoSpaceDN w:val="0"/>
        <w:adjustRightInd w:val="0"/>
        <w:jc w:val="both"/>
        <w:rPr>
          <w:rFonts w:eastAsia="Times New Roman" w:cs="Arial"/>
          <w:sz w:val="18"/>
        </w:rPr>
      </w:pPr>
    </w:p>
    <w:p w14:paraId="4F066FE3" w14:textId="77777777" w:rsidR="00BC017E" w:rsidRPr="00225669" w:rsidRDefault="00BC017E" w:rsidP="00137DFE">
      <w:pPr>
        <w:widowControl w:val="0"/>
        <w:autoSpaceDE w:val="0"/>
        <w:autoSpaceDN w:val="0"/>
        <w:adjustRightInd w:val="0"/>
        <w:jc w:val="both"/>
        <w:rPr>
          <w:rFonts w:eastAsia="Times New Roman" w:cs="Arial"/>
          <w:sz w:val="18"/>
        </w:rPr>
      </w:pPr>
    </w:p>
    <w:p w14:paraId="44FF4815" w14:textId="77777777" w:rsidR="00255260"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 xml:space="preserve">This report sets forth the information required by the terms of </w:t>
      </w:r>
      <w:r w:rsidR="00255260" w:rsidRPr="00225669">
        <w:rPr>
          <w:rFonts w:eastAsia="Times New Roman" w:cs="Arial"/>
          <w:sz w:val="18"/>
        </w:rPr>
        <w:t>Nextier’s</w:t>
      </w:r>
      <w:r w:rsidRPr="00225669">
        <w:rPr>
          <w:rFonts w:eastAsia="Times New Roman" w:cs="Arial"/>
          <w:sz w:val="18"/>
        </w:rPr>
        <w:t xml:space="preserve"> engagement and is prepared in the form expr</w:t>
      </w:r>
      <w:r w:rsidR="0094471E" w:rsidRPr="00225669">
        <w:rPr>
          <w:rFonts w:eastAsia="Times New Roman" w:cs="Arial"/>
          <w:sz w:val="18"/>
        </w:rPr>
        <w:t>essly required thereby.</w:t>
      </w:r>
      <w:r w:rsidRPr="00225669">
        <w:rPr>
          <w:rFonts w:eastAsia="Times New Roman" w:cs="Arial"/>
          <w:sz w:val="18"/>
        </w:rPr>
        <w:t xml:space="preserve"> This report </w:t>
      </w:r>
      <w:r w:rsidR="00883533" w:rsidRPr="00225669">
        <w:rPr>
          <w:rFonts w:eastAsia="Times New Roman" w:cs="Arial"/>
          <w:sz w:val="18"/>
        </w:rPr>
        <w:t xml:space="preserve">should be read and used </w:t>
      </w:r>
      <w:r w:rsidR="0094471E" w:rsidRPr="00225669">
        <w:rPr>
          <w:rFonts w:eastAsia="Times New Roman" w:cs="Arial"/>
          <w:sz w:val="18"/>
        </w:rPr>
        <w:t>as a whole and not in parts.</w:t>
      </w:r>
      <w:r w:rsidRPr="00225669">
        <w:rPr>
          <w:rFonts w:eastAsia="Times New Roman" w:cs="Arial"/>
          <w:sz w:val="18"/>
        </w:rPr>
        <w:t xml:space="preserve"> Separation or alteration of any section or page from the main body of this report is expressly forbidd</w:t>
      </w:r>
      <w:r w:rsidR="00255260" w:rsidRPr="00225669">
        <w:rPr>
          <w:rFonts w:eastAsia="Times New Roman" w:cs="Arial"/>
          <w:sz w:val="18"/>
        </w:rPr>
        <w:t>en and invalidates this report.</w:t>
      </w:r>
    </w:p>
    <w:p w14:paraId="107D27B2" w14:textId="77777777" w:rsidR="00BC017E" w:rsidRPr="00225669" w:rsidRDefault="00BC017E" w:rsidP="00137DFE">
      <w:pPr>
        <w:widowControl w:val="0"/>
        <w:autoSpaceDE w:val="0"/>
        <w:autoSpaceDN w:val="0"/>
        <w:adjustRightInd w:val="0"/>
        <w:jc w:val="both"/>
        <w:rPr>
          <w:rFonts w:eastAsia="Times New Roman" w:cs="Arial"/>
          <w:sz w:val="18"/>
        </w:rPr>
      </w:pPr>
    </w:p>
    <w:p w14:paraId="2C6897E1" w14:textId="77777777" w:rsidR="00BC017E"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Information furnished by others, upon which all or po</w:t>
      </w:r>
      <w:r w:rsidR="00255260" w:rsidRPr="00225669">
        <w:rPr>
          <w:rFonts w:eastAsia="Times New Roman" w:cs="Arial"/>
          <w:sz w:val="18"/>
        </w:rPr>
        <w:t>rtions of this report are based</w:t>
      </w:r>
      <w:r w:rsidRPr="00225669">
        <w:rPr>
          <w:rFonts w:eastAsia="Times New Roman" w:cs="Arial"/>
          <w:sz w:val="18"/>
        </w:rPr>
        <w:t xml:space="preserve"> is believed to be relia</w:t>
      </w:r>
      <w:r w:rsidR="0094471E" w:rsidRPr="00225669">
        <w:rPr>
          <w:rFonts w:eastAsia="Times New Roman" w:cs="Arial"/>
          <w:sz w:val="18"/>
        </w:rPr>
        <w:t xml:space="preserve">ble but has not been verified. </w:t>
      </w:r>
      <w:r w:rsidRPr="00225669">
        <w:rPr>
          <w:rFonts w:eastAsia="Times New Roman" w:cs="Arial"/>
          <w:sz w:val="18"/>
        </w:rPr>
        <w:t>No warranty is given as to th</w:t>
      </w:r>
      <w:r w:rsidR="0094471E" w:rsidRPr="00225669">
        <w:rPr>
          <w:rFonts w:eastAsia="Times New Roman" w:cs="Arial"/>
          <w:sz w:val="18"/>
        </w:rPr>
        <w:t>e accuracy of such information.</w:t>
      </w:r>
      <w:r w:rsidRPr="00225669">
        <w:rPr>
          <w:rFonts w:eastAsia="Times New Roman" w:cs="Arial"/>
          <w:sz w:val="18"/>
        </w:rPr>
        <w:t xml:space="preserve"> Public information and industry and statistical data are from sources we deem to be reliable; however, we make no representation as to the accuracy or completeness of such information and have accepted the information without further verification.</w:t>
      </w:r>
    </w:p>
    <w:p w14:paraId="43975FC4" w14:textId="77777777" w:rsidR="00255260" w:rsidRPr="00225669" w:rsidRDefault="00255260" w:rsidP="00137DFE">
      <w:pPr>
        <w:widowControl w:val="0"/>
        <w:autoSpaceDE w:val="0"/>
        <w:autoSpaceDN w:val="0"/>
        <w:adjustRightInd w:val="0"/>
        <w:jc w:val="both"/>
        <w:rPr>
          <w:rFonts w:eastAsia="Times New Roman" w:cs="Arial"/>
          <w:sz w:val="18"/>
        </w:rPr>
      </w:pPr>
    </w:p>
    <w:p w14:paraId="2141B18E" w14:textId="77777777" w:rsidR="00255260"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The findings contained in this report may contain predictions based on curre</w:t>
      </w:r>
      <w:r w:rsidR="00736D4E" w:rsidRPr="00225669">
        <w:rPr>
          <w:rFonts w:eastAsia="Times New Roman" w:cs="Arial"/>
          <w:sz w:val="18"/>
        </w:rPr>
        <w:t xml:space="preserve">nt data and historical trends. </w:t>
      </w:r>
      <w:r w:rsidRPr="00225669">
        <w:rPr>
          <w:rFonts w:eastAsia="Times New Roman" w:cs="Arial"/>
          <w:sz w:val="18"/>
        </w:rPr>
        <w:t>Any such predictions are subject to in</w:t>
      </w:r>
      <w:r w:rsidR="00736D4E" w:rsidRPr="00225669">
        <w:rPr>
          <w:rFonts w:eastAsia="Times New Roman" w:cs="Arial"/>
          <w:sz w:val="18"/>
        </w:rPr>
        <w:t>herent risks and uncertainties.</w:t>
      </w:r>
      <w:r w:rsidRPr="00225669">
        <w:rPr>
          <w:rFonts w:eastAsia="Times New Roman" w:cs="Arial"/>
          <w:sz w:val="18"/>
        </w:rPr>
        <w:t xml:space="preserve"> In particular, actual results could be affected by future </w:t>
      </w:r>
      <w:r w:rsidR="00736D4E" w:rsidRPr="00225669">
        <w:rPr>
          <w:rFonts w:eastAsia="Times New Roman" w:cs="Arial"/>
          <w:sz w:val="18"/>
        </w:rPr>
        <w:t>events that</w:t>
      </w:r>
      <w:r w:rsidRPr="00225669">
        <w:rPr>
          <w:rFonts w:eastAsia="Times New Roman" w:cs="Arial"/>
          <w:sz w:val="18"/>
        </w:rPr>
        <w:t xml:space="preserve"> ca</w:t>
      </w:r>
      <w:r w:rsidR="00736D4E" w:rsidRPr="00225669">
        <w:rPr>
          <w:rFonts w:eastAsia="Times New Roman" w:cs="Arial"/>
          <w:sz w:val="18"/>
        </w:rPr>
        <w:t xml:space="preserve">nnot be predicted or controlled. </w:t>
      </w:r>
      <w:r w:rsidRPr="00225669">
        <w:rPr>
          <w:rFonts w:eastAsia="Times New Roman" w:cs="Arial"/>
          <w:sz w:val="18"/>
        </w:rPr>
        <w:t>N</w:t>
      </w:r>
      <w:r w:rsidR="00255260" w:rsidRPr="00225669">
        <w:rPr>
          <w:rFonts w:eastAsia="Times New Roman" w:cs="Arial"/>
          <w:sz w:val="18"/>
        </w:rPr>
        <w:t>extier</w:t>
      </w:r>
      <w:r w:rsidRPr="00225669">
        <w:rPr>
          <w:rFonts w:eastAsia="Times New Roman" w:cs="Arial"/>
          <w:sz w:val="18"/>
        </w:rPr>
        <w:t xml:space="preserve"> accepts no responsibility for actual results or future events.</w:t>
      </w:r>
    </w:p>
    <w:p w14:paraId="704555C5" w14:textId="77777777" w:rsidR="00BC017E" w:rsidRPr="00225669" w:rsidRDefault="00BC017E" w:rsidP="00137DFE">
      <w:pPr>
        <w:widowControl w:val="0"/>
        <w:autoSpaceDE w:val="0"/>
        <w:autoSpaceDN w:val="0"/>
        <w:adjustRightInd w:val="0"/>
        <w:jc w:val="both"/>
        <w:rPr>
          <w:rFonts w:eastAsia="Times New Roman" w:cs="Arial"/>
          <w:sz w:val="18"/>
        </w:rPr>
      </w:pPr>
    </w:p>
    <w:p w14:paraId="2EF867D2" w14:textId="77777777" w:rsidR="00255260"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 xml:space="preserve">The opinions expressed in this report are valid only for the purpose stated herein and </w:t>
      </w:r>
      <w:r w:rsidR="0094471E" w:rsidRPr="00225669">
        <w:rPr>
          <w:rFonts w:eastAsia="Times New Roman" w:cs="Arial"/>
          <w:sz w:val="18"/>
        </w:rPr>
        <w:t xml:space="preserve">as of the date of this report. </w:t>
      </w:r>
      <w:r w:rsidRPr="00225669">
        <w:rPr>
          <w:rFonts w:eastAsia="Times New Roman" w:cs="Arial"/>
          <w:sz w:val="18"/>
        </w:rPr>
        <w:t xml:space="preserve">No obligation is assumed to revise this report to reflect changes, events or conditions, which occur </w:t>
      </w:r>
      <w:r w:rsidR="00255260" w:rsidRPr="00225669">
        <w:rPr>
          <w:rFonts w:eastAsia="Times New Roman" w:cs="Arial"/>
          <w:sz w:val="18"/>
        </w:rPr>
        <w:t>subsequent to the date hereof.</w:t>
      </w:r>
    </w:p>
    <w:p w14:paraId="0AB3A382" w14:textId="77777777" w:rsidR="00BC017E" w:rsidRPr="00225669" w:rsidRDefault="00BC017E" w:rsidP="00137DFE">
      <w:pPr>
        <w:widowControl w:val="0"/>
        <w:autoSpaceDE w:val="0"/>
        <w:autoSpaceDN w:val="0"/>
        <w:adjustRightInd w:val="0"/>
        <w:jc w:val="both"/>
        <w:rPr>
          <w:rFonts w:eastAsia="Times New Roman" w:cs="Arial"/>
          <w:sz w:val="18"/>
        </w:rPr>
      </w:pPr>
    </w:p>
    <w:p w14:paraId="289458E4" w14:textId="77777777" w:rsidR="00BC017E"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 xml:space="preserve">All decisions in connection with the implementation or use of advice or recommendations contained in this report are the sole responsibility of </w:t>
      </w:r>
      <w:r w:rsidR="00255260" w:rsidRPr="00225669">
        <w:rPr>
          <w:rFonts w:eastAsia="Times New Roman" w:cs="Arial"/>
          <w:sz w:val="18"/>
        </w:rPr>
        <w:t xml:space="preserve">Federal </w:t>
      </w:r>
      <w:r w:rsidR="00736D4E" w:rsidRPr="00225669">
        <w:rPr>
          <w:rFonts w:eastAsia="Times New Roman" w:cs="Arial"/>
          <w:sz w:val="18"/>
        </w:rPr>
        <w:t xml:space="preserve">Government of Nigeria. </w:t>
      </w:r>
      <w:r w:rsidRPr="00225669">
        <w:rPr>
          <w:rFonts w:eastAsia="Times New Roman" w:cs="Arial"/>
          <w:sz w:val="18"/>
        </w:rPr>
        <w:t xml:space="preserve">This report is for the exclusive use of the </w:t>
      </w:r>
      <w:r w:rsidR="00255260" w:rsidRPr="00225669">
        <w:rPr>
          <w:rFonts w:eastAsia="Times New Roman" w:cs="Arial"/>
          <w:sz w:val="18"/>
        </w:rPr>
        <w:t>Federal Ministry of Finance</w:t>
      </w:r>
      <w:r w:rsidRPr="00225669">
        <w:rPr>
          <w:rFonts w:eastAsia="Times New Roman" w:cs="Arial"/>
          <w:sz w:val="18"/>
        </w:rPr>
        <w:t xml:space="preserve">. There are no third party beneficiaries with respect to this report, and </w:t>
      </w:r>
      <w:r w:rsidR="00255260" w:rsidRPr="00225669">
        <w:rPr>
          <w:rFonts w:eastAsia="Times New Roman" w:cs="Arial"/>
          <w:sz w:val="18"/>
        </w:rPr>
        <w:t>Nextier</w:t>
      </w:r>
      <w:r w:rsidRPr="00225669">
        <w:rPr>
          <w:rFonts w:eastAsia="Times New Roman" w:cs="Arial"/>
          <w:sz w:val="18"/>
        </w:rPr>
        <w:t xml:space="preserve"> does not accept any liability to any third party.  In particular, </w:t>
      </w:r>
      <w:r w:rsidR="00255260" w:rsidRPr="00225669">
        <w:rPr>
          <w:rFonts w:eastAsia="Times New Roman" w:cs="Arial"/>
          <w:sz w:val="18"/>
        </w:rPr>
        <w:t>Nextier</w:t>
      </w:r>
      <w:r w:rsidRPr="00225669">
        <w:rPr>
          <w:rFonts w:eastAsia="Times New Roman" w:cs="Arial"/>
          <w:sz w:val="18"/>
        </w:rPr>
        <w:t xml:space="preserve"> shall not have any liability to any third party in respect of the contents of this report or any actions taken or decisions made as a consequence of the results, advice or recommendations set forth herein.</w:t>
      </w:r>
    </w:p>
    <w:p w14:paraId="5E22F22D" w14:textId="77777777" w:rsidR="00BC017E" w:rsidRPr="00225669" w:rsidRDefault="00BC017E" w:rsidP="00137DFE">
      <w:pPr>
        <w:widowControl w:val="0"/>
        <w:autoSpaceDE w:val="0"/>
        <w:autoSpaceDN w:val="0"/>
        <w:adjustRightInd w:val="0"/>
        <w:jc w:val="both"/>
        <w:rPr>
          <w:rFonts w:eastAsia="Times New Roman" w:cs="Arial"/>
          <w:sz w:val="18"/>
        </w:rPr>
      </w:pPr>
    </w:p>
    <w:p w14:paraId="7DB18FE5" w14:textId="77777777" w:rsidR="00BC017E" w:rsidRPr="00225669" w:rsidRDefault="00BC017E" w:rsidP="00137DFE">
      <w:pPr>
        <w:widowControl w:val="0"/>
        <w:autoSpaceDE w:val="0"/>
        <w:autoSpaceDN w:val="0"/>
        <w:adjustRightInd w:val="0"/>
        <w:jc w:val="both"/>
        <w:rPr>
          <w:rFonts w:eastAsia="Times New Roman" w:cs="Arial"/>
          <w:sz w:val="18"/>
        </w:rPr>
      </w:pPr>
    </w:p>
    <w:p w14:paraId="1FEA4572" w14:textId="77777777" w:rsidR="008A4FD8" w:rsidRPr="00225669" w:rsidRDefault="008A4FD8" w:rsidP="00137DFE">
      <w:pPr>
        <w:widowControl w:val="0"/>
        <w:autoSpaceDE w:val="0"/>
        <w:autoSpaceDN w:val="0"/>
        <w:adjustRightInd w:val="0"/>
        <w:jc w:val="both"/>
        <w:rPr>
          <w:rFonts w:eastAsia="Times New Roman" w:cs="Arial"/>
          <w:sz w:val="18"/>
        </w:rPr>
      </w:pPr>
    </w:p>
    <w:p w14:paraId="7976E6A0" w14:textId="77777777" w:rsidR="00255260" w:rsidRPr="00225669" w:rsidRDefault="00FE173F" w:rsidP="00137DFE">
      <w:pPr>
        <w:widowControl w:val="0"/>
        <w:autoSpaceDE w:val="0"/>
        <w:autoSpaceDN w:val="0"/>
        <w:adjustRightInd w:val="0"/>
        <w:jc w:val="both"/>
        <w:rPr>
          <w:rFonts w:eastAsia="Times New Roman" w:cs="Arial"/>
          <w:sz w:val="22"/>
        </w:rPr>
      </w:pPr>
      <w:r w:rsidRPr="00225669">
        <w:rPr>
          <w:rFonts w:eastAsia="Times New Roman" w:cs="Arial"/>
          <w:sz w:val="22"/>
        </w:rPr>
        <w:t>Nextier Advisory</w:t>
      </w:r>
    </w:p>
    <w:p w14:paraId="617A7B83" w14:textId="77777777" w:rsidR="00BC017E" w:rsidRPr="00225669" w:rsidRDefault="00BC017E" w:rsidP="00137DFE">
      <w:pPr>
        <w:widowControl w:val="0"/>
        <w:autoSpaceDE w:val="0"/>
        <w:autoSpaceDN w:val="0"/>
        <w:adjustRightInd w:val="0"/>
        <w:jc w:val="both"/>
        <w:rPr>
          <w:rFonts w:eastAsia="Times New Roman" w:cs="Arial"/>
          <w:sz w:val="18"/>
        </w:rPr>
      </w:pPr>
      <w:r w:rsidRPr="00225669">
        <w:rPr>
          <w:rFonts w:eastAsia="Times New Roman" w:cs="Arial"/>
          <w:sz w:val="18"/>
        </w:rPr>
        <w:t>+</w:t>
      </w:r>
      <w:r w:rsidR="00255260" w:rsidRPr="00225669">
        <w:rPr>
          <w:rFonts w:eastAsia="Times New Roman" w:cs="Arial"/>
          <w:sz w:val="18"/>
        </w:rPr>
        <w:t>234 701 002 7301</w:t>
      </w:r>
    </w:p>
    <w:p w14:paraId="32E1464E" w14:textId="77777777" w:rsidR="00BC017E" w:rsidRPr="00225669" w:rsidRDefault="00255260" w:rsidP="00137DFE">
      <w:pPr>
        <w:widowControl w:val="0"/>
        <w:autoSpaceDE w:val="0"/>
        <w:autoSpaceDN w:val="0"/>
        <w:adjustRightInd w:val="0"/>
        <w:jc w:val="both"/>
        <w:rPr>
          <w:rFonts w:eastAsia="Times New Roman" w:cs="Arial"/>
          <w:sz w:val="18"/>
        </w:rPr>
      </w:pPr>
      <w:r w:rsidRPr="00225669">
        <w:rPr>
          <w:rFonts w:eastAsia="Times New Roman" w:cs="Arial"/>
          <w:sz w:val="18"/>
        </w:rPr>
        <w:t>info@nextierlimited.com</w:t>
      </w:r>
    </w:p>
    <w:p w14:paraId="0752DF87" w14:textId="77777777" w:rsidR="00BC017E" w:rsidRPr="00225669" w:rsidRDefault="00255260" w:rsidP="00137DFE">
      <w:pPr>
        <w:widowControl w:val="0"/>
        <w:autoSpaceDE w:val="0"/>
        <w:autoSpaceDN w:val="0"/>
        <w:adjustRightInd w:val="0"/>
        <w:jc w:val="both"/>
        <w:rPr>
          <w:rFonts w:eastAsia="Times New Roman" w:cs="Arial"/>
          <w:sz w:val="18"/>
        </w:rPr>
      </w:pPr>
      <w:r w:rsidRPr="00225669">
        <w:rPr>
          <w:rFonts w:eastAsia="Times New Roman" w:cs="Arial"/>
          <w:sz w:val="18"/>
        </w:rPr>
        <w:t>www.nextierlimited.com</w:t>
      </w:r>
    </w:p>
    <w:p w14:paraId="1BD79B3C" w14:textId="77777777" w:rsidR="002F0AC2" w:rsidRPr="00225669" w:rsidRDefault="002F0AC2" w:rsidP="00137DFE">
      <w:pPr>
        <w:widowControl w:val="0"/>
        <w:autoSpaceDE w:val="0"/>
        <w:autoSpaceDN w:val="0"/>
        <w:adjustRightInd w:val="0"/>
        <w:jc w:val="both"/>
        <w:rPr>
          <w:rFonts w:cs="Arial"/>
        </w:rPr>
      </w:pPr>
    </w:p>
    <w:p w14:paraId="5AC51A47" w14:textId="77777777" w:rsidR="002F0AC2" w:rsidRPr="00225669" w:rsidRDefault="002F0AC2" w:rsidP="00137DFE">
      <w:pPr>
        <w:jc w:val="both"/>
        <w:rPr>
          <w:rFonts w:cs="Arial"/>
        </w:rPr>
      </w:pPr>
      <w:r w:rsidRPr="00225669">
        <w:rPr>
          <w:rFonts w:cs="Arial"/>
        </w:rPr>
        <w:br w:type="page"/>
      </w:r>
    </w:p>
    <w:p w14:paraId="1155F292" w14:textId="02CA7E5F" w:rsidR="00423FFF" w:rsidRPr="00225669" w:rsidRDefault="00541FF4" w:rsidP="00137DFE">
      <w:pPr>
        <w:widowControl w:val="0"/>
        <w:autoSpaceDE w:val="0"/>
        <w:autoSpaceDN w:val="0"/>
        <w:adjustRightInd w:val="0"/>
        <w:jc w:val="both"/>
        <w:rPr>
          <w:rFonts w:eastAsia="Times New Roman" w:cs="Arial"/>
        </w:rPr>
      </w:pPr>
      <w:bookmarkStart w:id="0" w:name="_Toc232300021"/>
      <w:r w:rsidRPr="00225669">
        <w:rPr>
          <w:rFonts w:eastAsia="Times New Roman" w:cs="Arial"/>
        </w:rPr>
        <w:t>Table of Contents</w:t>
      </w:r>
      <w:bookmarkEnd w:id="0"/>
    </w:p>
    <w:p w14:paraId="29478B2E" w14:textId="77777777" w:rsidR="008F3981" w:rsidRPr="00225669" w:rsidRDefault="008F3981" w:rsidP="00137DFE">
      <w:pPr>
        <w:widowControl w:val="0"/>
        <w:autoSpaceDE w:val="0"/>
        <w:autoSpaceDN w:val="0"/>
        <w:adjustRightInd w:val="0"/>
        <w:jc w:val="both"/>
        <w:rPr>
          <w:rFonts w:eastAsia="Times New Roman" w:cs="Arial"/>
        </w:rPr>
      </w:pPr>
    </w:p>
    <w:p w14:paraId="4B0F1012" w14:textId="77777777" w:rsidR="00ED5894" w:rsidRDefault="00BE2E98">
      <w:pPr>
        <w:pStyle w:val="TOC1"/>
        <w:tabs>
          <w:tab w:val="left" w:pos="362"/>
          <w:tab w:val="right" w:leader="dot" w:pos="9054"/>
        </w:tabs>
        <w:rPr>
          <w:rFonts w:asciiTheme="minorHAnsi" w:hAnsiTheme="minorHAnsi"/>
          <w:b w:val="0"/>
          <w:noProof/>
          <w:color w:val="auto"/>
          <w:lang w:val="en-US" w:eastAsia="ja-JP"/>
        </w:rPr>
      </w:pPr>
      <w:r w:rsidRPr="00225669">
        <w:rPr>
          <w:rFonts w:ascii="Arial" w:hAnsi="Arial" w:cs="Arial"/>
          <w:color w:val="auto"/>
        </w:rPr>
        <w:fldChar w:fldCharType="begin"/>
      </w:r>
      <w:r w:rsidR="00BF5BB3" w:rsidRPr="00225669">
        <w:rPr>
          <w:rFonts w:ascii="Arial" w:hAnsi="Arial" w:cs="Arial"/>
          <w:color w:val="auto"/>
        </w:rPr>
        <w:instrText xml:space="preserve"> TOC \o "2-3" \t "Heading 1,1,Heading 0,1,Header1,1" </w:instrText>
      </w:r>
      <w:r w:rsidRPr="00225669">
        <w:rPr>
          <w:rFonts w:ascii="Arial" w:hAnsi="Arial" w:cs="Arial"/>
          <w:color w:val="auto"/>
        </w:rPr>
        <w:fldChar w:fldCharType="separate"/>
      </w:r>
      <w:r w:rsidR="00ED5894">
        <w:rPr>
          <w:noProof/>
        </w:rPr>
        <w:t>1</w:t>
      </w:r>
      <w:r w:rsidR="00ED5894">
        <w:rPr>
          <w:rFonts w:asciiTheme="minorHAnsi" w:hAnsiTheme="minorHAnsi"/>
          <w:b w:val="0"/>
          <w:noProof/>
          <w:color w:val="auto"/>
          <w:lang w:val="en-US" w:eastAsia="ja-JP"/>
        </w:rPr>
        <w:tab/>
      </w:r>
      <w:r w:rsidR="00ED5894">
        <w:rPr>
          <w:noProof/>
        </w:rPr>
        <w:t>Executive Summary</w:t>
      </w:r>
      <w:r w:rsidR="00ED5894">
        <w:rPr>
          <w:noProof/>
        </w:rPr>
        <w:tab/>
      </w:r>
      <w:r w:rsidR="00ED5894">
        <w:rPr>
          <w:noProof/>
        </w:rPr>
        <w:fldChar w:fldCharType="begin"/>
      </w:r>
      <w:r w:rsidR="00ED5894">
        <w:rPr>
          <w:noProof/>
        </w:rPr>
        <w:instrText xml:space="preserve"> PAGEREF _Toc311709480 \h </w:instrText>
      </w:r>
      <w:r w:rsidR="00ED5894">
        <w:rPr>
          <w:noProof/>
        </w:rPr>
      </w:r>
      <w:r w:rsidR="00ED5894">
        <w:rPr>
          <w:noProof/>
        </w:rPr>
        <w:fldChar w:fldCharType="separate"/>
      </w:r>
      <w:r w:rsidR="00ED5894">
        <w:rPr>
          <w:noProof/>
        </w:rPr>
        <w:t>5</w:t>
      </w:r>
      <w:r w:rsidR="00ED5894">
        <w:rPr>
          <w:noProof/>
        </w:rPr>
        <w:fldChar w:fldCharType="end"/>
      </w:r>
    </w:p>
    <w:p w14:paraId="1BE851D1"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2</w:t>
      </w:r>
      <w:r>
        <w:rPr>
          <w:rFonts w:asciiTheme="minorHAnsi" w:hAnsiTheme="minorHAnsi"/>
          <w:b w:val="0"/>
          <w:noProof/>
          <w:color w:val="auto"/>
          <w:lang w:val="en-US" w:eastAsia="ja-JP"/>
        </w:rPr>
        <w:tab/>
      </w:r>
      <w:r>
        <w:rPr>
          <w:noProof/>
        </w:rPr>
        <w:t>Purpose of the Report</w:t>
      </w:r>
      <w:r>
        <w:rPr>
          <w:noProof/>
        </w:rPr>
        <w:tab/>
      </w:r>
      <w:r>
        <w:rPr>
          <w:noProof/>
        </w:rPr>
        <w:fldChar w:fldCharType="begin"/>
      </w:r>
      <w:r>
        <w:rPr>
          <w:noProof/>
        </w:rPr>
        <w:instrText xml:space="preserve"> PAGEREF _Toc311709481 \h </w:instrText>
      </w:r>
      <w:r>
        <w:rPr>
          <w:noProof/>
        </w:rPr>
      </w:r>
      <w:r>
        <w:rPr>
          <w:noProof/>
        </w:rPr>
        <w:fldChar w:fldCharType="separate"/>
      </w:r>
      <w:r>
        <w:rPr>
          <w:noProof/>
        </w:rPr>
        <w:t>7</w:t>
      </w:r>
      <w:r>
        <w:rPr>
          <w:noProof/>
        </w:rPr>
        <w:fldChar w:fldCharType="end"/>
      </w:r>
    </w:p>
    <w:p w14:paraId="3A977925"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3</w:t>
      </w:r>
      <w:r>
        <w:rPr>
          <w:rFonts w:asciiTheme="minorHAnsi" w:hAnsiTheme="minorHAnsi"/>
          <w:b w:val="0"/>
          <w:noProof/>
          <w:color w:val="auto"/>
          <w:lang w:val="en-US" w:eastAsia="ja-JP"/>
        </w:rPr>
        <w:tab/>
      </w:r>
      <w:r>
        <w:rPr>
          <w:noProof/>
        </w:rPr>
        <w:t>The Niger Delta Region: A Primer</w:t>
      </w:r>
      <w:r>
        <w:rPr>
          <w:noProof/>
        </w:rPr>
        <w:tab/>
      </w:r>
      <w:r>
        <w:rPr>
          <w:noProof/>
        </w:rPr>
        <w:fldChar w:fldCharType="begin"/>
      </w:r>
      <w:r>
        <w:rPr>
          <w:noProof/>
        </w:rPr>
        <w:instrText xml:space="preserve"> PAGEREF _Toc311709482 \h </w:instrText>
      </w:r>
      <w:r>
        <w:rPr>
          <w:noProof/>
        </w:rPr>
      </w:r>
      <w:r>
        <w:rPr>
          <w:noProof/>
        </w:rPr>
        <w:fldChar w:fldCharType="separate"/>
      </w:r>
      <w:r>
        <w:rPr>
          <w:noProof/>
        </w:rPr>
        <w:t>8</w:t>
      </w:r>
      <w:r>
        <w:rPr>
          <w:noProof/>
        </w:rPr>
        <w:fldChar w:fldCharType="end"/>
      </w:r>
    </w:p>
    <w:p w14:paraId="600F5F73"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3.1</w:t>
      </w:r>
      <w:r>
        <w:rPr>
          <w:rFonts w:asciiTheme="minorHAnsi" w:hAnsiTheme="minorHAnsi"/>
          <w:noProof/>
          <w:sz w:val="24"/>
          <w:szCs w:val="24"/>
          <w:lang w:val="en-US" w:eastAsia="ja-JP"/>
        </w:rPr>
        <w:tab/>
      </w:r>
      <w:r w:rsidRPr="00D0110D">
        <w:rPr>
          <w:rFonts w:cs="Arial"/>
          <w:noProof/>
        </w:rPr>
        <w:t>Introduction</w:t>
      </w:r>
      <w:r>
        <w:rPr>
          <w:noProof/>
        </w:rPr>
        <w:tab/>
      </w:r>
      <w:r>
        <w:rPr>
          <w:noProof/>
        </w:rPr>
        <w:fldChar w:fldCharType="begin"/>
      </w:r>
      <w:r>
        <w:rPr>
          <w:noProof/>
        </w:rPr>
        <w:instrText xml:space="preserve"> PAGEREF _Toc311709483 \h </w:instrText>
      </w:r>
      <w:r>
        <w:rPr>
          <w:noProof/>
        </w:rPr>
      </w:r>
      <w:r>
        <w:rPr>
          <w:noProof/>
        </w:rPr>
        <w:fldChar w:fldCharType="separate"/>
      </w:r>
      <w:r>
        <w:rPr>
          <w:noProof/>
        </w:rPr>
        <w:t>8</w:t>
      </w:r>
      <w:r>
        <w:rPr>
          <w:noProof/>
        </w:rPr>
        <w:fldChar w:fldCharType="end"/>
      </w:r>
    </w:p>
    <w:p w14:paraId="48CDA4E8"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3.2</w:t>
      </w:r>
      <w:r>
        <w:rPr>
          <w:rFonts w:asciiTheme="minorHAnsi" w:hAnsiTheme="minorHAnsi"/>
          <w:noProof/>
          <w:sz w:val="24"/>
          <w:szCs w:val="24"/>
          <w:lang w:val="en-US" w:eastAsia="ja-JP"/>
        </w:rPr>
        <w:tab/>
      </w:r>
      <w:r w:rsidRPr="00D0110D">
        <w:rPr>
          <w:rFonts w:cs="Arial"/>
          <w:noProof/>
        </w:rPr>
        <w:t>The Niger Delta Region and Oil production</w:t>
      </w:r>
      <w:r>
        <w:rPr>
          <w:noProof/>
        </w:rPr>
        <w:tab/>
      </w:r>
      <w:r>
        <w:rPr>
          <w:noProof/>
        </w:rPr>
        <w:fldChar w:fldCharType="begin"/>
      </w:r>
      <w:r>
        <w:rPr>
          <w:noProof/>
        </w:rPr>
        <w:instrText xml:space="preserve"> PAGEREF _Toc311709484 \h </w:instrText>
      </w:r>
      <w:r>
        <w:rPr>
          <w:noProof/>
        </w:rPr>
      </w:r>
      <w:r>
        <w:rPr>
          <w:noProof/>
        </w:rPr>
        <w:fldChar w:fldCharType="separate"/>
      </w:r>
      <w:r>
        <w:rPr>
          <w:noProof/>
        </w:rPr>
        <w:t>11</w:t>
      </w:r>
      <w:r>
        <w:rPr>
          <w:noProof/>
        </w:rPr>
        <w:fldChar w:fldCharType="end"/>
      </w:r>
    </w:p>
    <w:p w14:paraId="143C21DD"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3.3</w:t>
      </w:r>
      <w:r>
        <w:rPr>
          <w:rFonts w:asciiTheme="minorHAnsi" w:hAnsiTheme="minorHAnsi"/>
          <w:noProof/>
          <w:sz w:val="24"/>
          <w:szCs w:val="24"/>
          <w:lang w:val="en-US" w:eastAsia="ja-JP"/>
        </w:rPr>
        <w:tab/>
      </w:r>
      <w:r w:rsidRPr="00D0110D">
        <w:rPr>
          <w:rFonts w:cs="Arial"/>
          <w:noProof/>
        </w:rPr>
        <w:t>Petroleum and Revenue Sharing in Nigeria</w:t>
      </w:r>
      <w:r>
        <w:rPr>
          <w:noProof/>
        </w:rPr>
        <w:tab/>
      </w:r>
      <w:r>
        <w:rPr>
          <w:noProof/>
        </w:rPr>
        <w:fldChar w:fldCharType="begin"/>
      </w:r>
      <w:r>
        <w:rPr>
          <w:noProof/>
        </w:rPr>
        <w:instrText xml:space="preserve"> PAGEREF _Toc311709485 \h </w:instrText>
      </w:r>
      <w:r>
        <w:rPr>
          <w:noProof/>
        </w:rPr>
      </w:r>
      <w:r>
        <w:rPr>
          <w:noProof/>
        </w:rPr>
        <w:fldChar w:fldCharType="separate"/>
      </w:r>
      <w:r>
        <w:rPr>
          <w:noProof/>
        </w:rPr>
        <w:t>11</w:t>
      </w:r>
      <w:r>
        <w:rPr>
          <w:noProof/>
        </w:rPr>
        <w:fldChar w:fldCharType="end"/>
      </w:r>
    </w:p>
    <w:p w14:paraId="61EBDCFF" w14:textId="77777777" w:rsidR="00ED5894" w:rsidRDefault="00ED5894">
      <w:pPr>
        <w:pStyle w:val="TOC3"/>
        <w:tabs>
          <w:tab w:val="left" w:pos="969"/>
        </w:tabs>
        <w:rPr>
          <w:rFonts w:asciiTheme="minorHAnsi" w:hAnsiTheme="minorHAnsi"/>
          <w:i w:val="0"/>
          <w:noProof/>
          <w:sz w:val="24"/>
          <w:szCs w:val="24"/>
          <w:lang w:val="en-US" w:eastAsia="ja-JP"/>
        </w:rPr>
      </w:pPr>
      <w:r>
        <w:rPr>
          <w:noProof/>
        </w:rPr>
        <w:t>3.3.1</w:t>
      </w:r>
      <w:r>
        <w:rPr>
          <w:rFonts w:asciiTheme="minorHAnsi" w:hAnsiTheme="minorHAnsi"/>
          <w:i w:val="0"/>
          <w:noProof/>
          <w:sz w:val="24"/>
          <w:szCs w:val="24"/>
          <w:lang w:val="en-US" w:eastAsia="ja-JP"/>
        </w:rPr>
        <w:tab/>
      </w:r>
      <w:r>
        <w:rPr>
          <w:noProof/>
        </w:rPr>
        <w:t>The Colonial Era</w:t>
      </w:r>
      <w:r>
        <w:rPr>
          <w:noProof/>
        </w:rPr>
        <w:tab/>
      </w:r>
      <w:r>
        <w:rPr>
          <w:noProof/>
        </w:rPr>
        <w:fldChar w:fldCharType="begin"/>
      </w:r>
      <w:r>
        <w:rPr>
          <w:noProof/>
        </w:rPr>
        <w:instrText xml:space="preserve"> PAGEREF _Toc311709486 \h </w:instrText>
      </w:r>
      <w:r>
        <w:rPr>
          <w:noProof/>
        </w:rPr>
      </w:r>
      <w:r>
        <w:rPr>
          <w:noProof/>
        </w:rPr>
        <w:fldChar w:fldCharType="separate"/>
      </w:r>
      <w:r>
        <w:rPr>
          <w:noProof/>
        </w:rPr>
        <w:t>12</w:t>
      </w:r>
      <w:r>
        <w:rPr>
          <w:noProof/>
        </w:rPr>
        <w:fldChar w:fldCharType="end"/>
      </w:r>
    </w:p>
    <w:p w14:paraId="308A07F1" w14:textId="77777777" w:rsidR="00ED5894" w:rsidRDefault="00ED5894">
      <w:pPr>
        <w:pStyle w:val="TOC3"/>
        <w:tabs>
          <w:tab w:val="left" w:pos="969"/>
        </w:tabs>
        <w:rPr>
          <w:rFonts w:asciiTheme="minorHAnsi" w:hAnsiTheme="minorHAnsi"/>
          <w:i w:val="0"/>
          <w:noProof/>
          <w:sz w:val="24"/>
          <w:szCs w:val="24"/>
          <w:lang w:val="en-US" w:eastAsia="ja-JP"/>
        </w:rPr>
      </w:pPr>
      <w:r>
        <w:rPr>
          <w:noProof/>
        </w:rPr>
        <w:t>3.3.2</w:t>
      </w:r>
      <w:r>
        <w:rPr>
          <w:rFonts w:asciiTheme="minorHAnsi" w:hAnsiTheme="minorHAnsi"/>
          <w:i w:val="0"/>
          <w:noProof/>
          <w:sz w:val="24"/>
          <w:szCs w:val="24"/>
          <w:lang w:val="en-US" w:eastAsia="ja-JP"/>
        </w:rPr>
        <w:tab/>
      </w:r>
      <w:r>
        <w:rPr>
          <w:noProof/>
        </w:rPr>
        <w:t>Immediate Post-Independence Era</w:t>
      </w:r>
      <w:r>
        <w:rPr>
          <w:noProof/>
        </w:rPr>
        <w:tab/>
      </w:r>
      <w:r>
        <w:rPr>
          <w:noProof/>
        </w:rPr>
        <w:fldChar w:fldCharType="begin"/>
      </w:r>
      <w:r>
        <w:rPr>
          <w:noProof/>
        </w:rPr>
        <w:instrText xml:space="preserve"> PAGEREF _Toc311709487 \h </w:instrText>
      </w:r>
      <w:r>
        <w:rPr>
          <w:noProof/>
        </w:rPr>
      </w:r>
      <w:r>
        <w:rPr>
          <w:noProof/>
        </w:rPr>
        <w:fldChar w:fldCharType="separate"/>
      </w:r>
      <w:r>
        <w:rPr>
          <w:noProof/>
        </w:rPr>
        <w:t>12</w:t>
      </w:r>
      <w:r>
        <w:rPr>
          <w:noProof/>
        </w:rPr>
        <w:fldChar w:fldCharType="end"/>
      </w:r>
    </w:p>
    <w:p w14:paraId="3A5F7235" w14:textId="77777777" w:rsidR="00ED5894" w:rsidRDefault="00ED5894">
      <w:pPr>
        <w:pStyle w:val="TOC3"/>
        <w:tabs>
          <w:tab w:val="left" w:pos="969"/>
        </w:tabs>
        <w:rPr>
          <w:rFonts w:asciiTheme="minorHAnsi" w:hAnsiTheme="minorHAnsi"/>
          <w:i w:val="0"/>
          <w:noProof/>
          <w:sz w:val="24"/>
          <w:szCs w:val="24"/>
          <w:lang w:val="en-US" w:eastAsia="ja-JP"/>
        </w:rPr>
      </w:pPr>
      <w:r>
        <w:rPr>
          <w:noProof/>
        </w:rPr>
        <w:t>3.3.3</w:t>
      </w:r>
      <w:r>
        <w:rPr>
          <w:rFonts w:asciiTheme="minorHAnsi" w:hAnsiTheme="minorHAnsi"/>
          <w:i w:val="0"/>
          <w:noProof/>
          <w:sz w:val="24"/>
          <w:szCs w:val="24"/>
          <w:lang w:val="en-US" w:eastAsia="ja-JP"/>
        </w:rPr>
        <w:tab/>
      </w:r>
      <w:r>
        <w:rPr>
          <w:noProof/>
        </w:rPr>
        <w:t>The Indigenisation Era</w:t>
      </w:r>
      <w:r>
        <w:rPr>
          <w:noProof/>
        </w:rPr>
        <w:tab/>
      </w:r>
      <w:r>
        <w:rPr>
          <w:noProof/>
        </w:rPr>
        <w:fldChar w:fldCharType="begin"/>
      </w:r>
      <w:r>
        <w:rPr>
          <w:noProof/>
        </w:rPr>
        <w:instrText xml:space="preserve"> PAGEREF _Toc311709488 \h </w:instrText>
      </w:r>
      <w:r>
        <w:rPr>
          <w:noProof/>
        </w:rPr>
      </w:r>
      <w:r>
        <w:rPr>
          <w:noProof/>
        </w:rPr>
        <w:fldChar w:fldCharType="separate"/>
      </w:r>
      <w:r>
        <w:rPr>
          <w:noProof/>
        </w:rPr>
        <w:t>13</w:t>
      </w:r>
      <w:r>
        <w:rPr>
          <w:noProof/>
        </w:rPr>
        <w:fldChar w:fldCharType="end"/>
      </w:r>
    </w:p>
    <w:p w14:paraId="7AAD23EE" w14:textId="77777777" w:rsidR="00ED5894" w:rsidRDefault="00ED5894">
      <w:pPr>
        <w:pStyle w:val="TOC3"/>
        <w:tabs>
          <w:tab w:val="left" w:pos="969"/>
        </w:tabs>
        <w:rPr>
          <w:rFonts w:asciiTheme="minorHAnsi" w:hAnsiTheme="minorHAnsi"/>
          <w:i w:val="0"/>
          <w:noProof/>
          <w:sz w:val="24"/>
          <w:szCs w:val="24"/>
          <w:lang w:val="en-US" w:eastAsia="ja-JP"/>
        </w:rPr>
      </w:pPr>
      <w:r>
        <w:rPr>
          <w:noProof/>
        </w:rPr>
        <w:t>3.3.4</w:t>
      </w:r>
      <w:r>
        <w:rPr>
          <w:rFonts w:asciiTheme="minorHAnsi" w:hAnsiTheme="minorHAnsi"/>
          <w:i w:val="0"/>
          <w:noProof/>
          <w:sz w:val="24"/>
          <w:szCs w:val="24"/>
          <w:lang w:val="en-US" w:eastAsia="ja-JP"/>
        </w:rPr>
        <w:tab/>
      </w:r>
      <w:r>
        <w:rPr>
          <w:noProof/>
        </w:rPr>
        <w:t>The Deregulation Stage</w:t>
      </w:r>
      <w:r>
        <w:rPr>
          <w:noProof/>
        </w:rPr>
        <w:tab/>
      </w:r>
      <w:r>
        <w:rPr>
          <w:noProof/>
        </w:rPr>
        <w:fldChar w:fldCharType="begin"/>
      </w:r>
      <w:r>
        <w:rPr>
          <w:noProof/>
        </w:rPr>
        <w:instrText xml:space="preserve"> PAGEREF _Toc311709489 \h </w:instrText>
      </w:r>
      <w:r>
        <w:rPr>
          <w:noProof/>
        </w:rPr>
      </w:r>
      <w:r>
        <w:rPr>
          <w:noProof/>
        </w:rPr>
        <w:fldChar w:fldCharType="separate"/>
      </w:r>
      <w:r>
        <w:rPr>
          <w:noProof/>
        </w:rPr>
        <w:t>14</w:t>
      </w:r>
      <w:r>
        <w:rPr>
          <w:noProof/>
        </w:rPr>
        <w:fldChar w:fldCharType="end"/>
      </w:r>
    </w:p>
    <w:p w14:paraId="5F486901"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3.4</w:t>
      </w:r>
      <w:r>
        <w:rPr>
          <w:rFonts w:asciiTheme="minorHAnsi" w:hAnsiTheme="minorHAnsi"/>
          <w:noProof/>
          <w:sz w:val="24"/>
          <w:szCs w:val="24"/>
          <w:lang w:val="en-US" w:eastAsia="ja-JP"/>
        </w:rPr>
        <w:tab/>
      </w:r>
      <w:r w:rsidRPr="00D0110D">
        <w:rPr>
          <w:rFonts w:cs="Arial"/>
          <w:noProof/>
        </w:rPr>
        <w:t>Production and Revenue Profiles of Nigeria’s Oil Industry</w:t>
      </w:r>
      <w:r>
        <w:rPr>
          <w:noProof/>
        </w:rPr>
        <w:tab/>
      </w:r>
      <w:r>
        <w:rPr>
          <w:noProof/>
        </w:rPr>
        <w:fldChar w:fldCharType="begin"/>
      </w:r>
      <w:r>
        <w:rPr>
          <w:noProof/>
        </w:rPr>
        <w:instrText xml:space="preserve"> PAGEREF _Toc311709490 \h </w:instrText>
      </w:r>
      <w:r>
        <w:rPr>
          <w:noProof/>
        </w:rPr>
      </w:r>
      <w:r>
        <w:rPr>
          <w:noProof/>
        </w:rPr>
        <w:fldChar w:fldCharType="separate"/>
      </w:r>
      <w:r>
        <w:rPr>
          <w:noProof/>
        </w:rPr>
        <w:t>16</w:t>
      </w:r>
      <w:r>
        <w:rPr>
          <w:noProof/>
        </w:rPr>
        <w:fldChar w:fldCharType="end"/>
      </w:r>
    </w:p>
    <w:p w14:paraId="77F13BD4"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3.5</w:t>
      </w:r>
      <w:r>
        <w:rPr>
          <w:rFonts w:asciiTheme="minorHAnsi" w:hAnsiTheme="minorHAnsi"/>
          <w:noProof/>
          <w:sz w:val="24"/>
          <w:szCs w:val="24"/>
          <w:lang w:val="en-US" w:eastAsia="ja-JP"/>
        </w:rPr>
        <w:tab/>
      </w:r>
      <w:r w:rsidRPr="00D0110D">
        <w:rPr>
          <w:rFonts w:cs="Arial"/>
          <w:noProof/>
        </w:rPr>
        <w:t>Pressure for Derivation Principle in Revenue Sharing</w:t>
      </w:r>
      <w:r>
        <w:rPr>
          <w:noProof/>
        </w:rPr>
        <w:tab/>
      </w:r>
      <w:r>
        <w:rPr>
          <w:noProof/>
        </w:rPr>
        <w:fldChar w:fldCharType="begin"/>
      </w:r>
      <w:r>
        <w:rPr>
          <w:noProof/>
        </w:rPr>
        <w:instrText xml:space="preserve"> PAGEREF _Toc311709491 \h </w:instrText>
      </w:r>
      <w:r>
        <w:rPr>
          <w:noProof/>
        </w:rPr>
      </w:r>
      <w:r>
        <w:rPr>
          <w:noProof/>
        </w:rPr>
        <w:fldChar w:fldCharType="separate"/>
      </w:r>
      <w:r>
        <w:rPr>
          <w:noProof/>
        </w:rPr>
        <w:t>17</w:t>
      </w:r>
      <w:r>
        <w:rPr>
          <w:noProof/>
        </w:rPr>
        <w:fldChar w:fldCharType="end"/>
      </w:r>
    </w:p>
    <w:p w14:paraId="7C912681"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4</w:t>
      </w:r>
      <w:r>
        <w:rPr>
          <w:rFonts w:asciiTheme="minorHAnsi" w:hAnsiTheme="minorHAnsi"/>
          <w:b w:val="0"/>
          <w:noProof/>
          <w:color w:val="auto"/>
          <w:lang w:val="en-US" w:eastAsia="ja-JP"/>
        </w:rPr>
        <w:tab/>
      </w:r>
      <w:r>
        <w:rPr>
          <w:noProof/>
        </w:rPr>
        <w:t>Interventionist Agencies and Development Response in the Niger Delta</w:t>
      </w:r>
      <w:r>
        <w:rPr>
          <w:noProof/>
        </w:rPr>
        <w:tab/>
      </w:r>
      <w:r>
        <w:rPr>
          <w:noProof/>
        </w:rPr>
        <w:fldChar w:fldCharType="begin"/>
      </w:r>
      <w:r>
        <w:rPr>
          <w:noProof/>
        </w:rPr>
        <w:instrText xml:space="preserve"> PAGEREF _Toc311709492 \h </w:instrText>
      </w:r>
      <w:r>
        <w:rPr>
          <w:noProof/>
        </w:rPr>
      </w:r>
      <w:r>
        <w:rPr>
          <w:noProof/>
        </w:rPr>
        <w:fldChar w:fldCharType="separate"/>
      </w:r>
      <w:r>
        <w:rPr>
          <w:noProof/>
        </w:rPr>
        <w:t>20</w:t>
      </w:r>
      <w:r>
        <w:rPr>
          <w:noProof/>
        </w:rPr>
        <w:fldChar w:fldCharType="end"/>
      </w:r>
    </w:p>
    <w:p w14:paraId="677F11AE"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4.1</w:t>
      </w:r>
      <w:r>
        <w:rPr>
          <w:rFonts w:asciiTheme="minorHAnsi" w:hAnsiTheme="minorHAnsi"/>
          <w:noProof/>
          <w:sz w:val="24"/>
          <w:szCs w:val="24"/>
          <w:lang w:val="en-US" w:eastAsia="ja-JP"/>
        </w:rPr>
        <w:tab/>
      </w:r>
      <w:r w:rsidRPr="00D0110D">
        <w:rPr>
          <w:rFonts w:cs="Arial"/>
          <w:noProof/>
        </w:rPr>
        <w:t>Niger Delta Development Commission</w:t>
      </w:r>
      <w:r>
        <w:rPr>
          <w:noProof/>
        </w:rPr>
        <w:tab/>
      </w:r>
      <w:r>
        <w:rPr>
          <w:noProof/>
        </w:rPr>
        <w:fldChar w:fldCharType="begin"/>
      </w:r>
      <w:r>
        <w:rPr>
          <w:noProof/>
        </w:rPr>
        <w:instrText xml:space="preserve"> PAGEREF _Toc311709493 \h </w:instrText>
      </w:r>
      <w:r>
        <w:rPr>
          <w:noProof/>
        </w:rPr>
      </w:r>
      <w:r>
        <w:rPr>
          <w:noProof/>
        </w:rPr>
        <w:fldChar w:fldCharType="separate"/>
      </w:r>
      <w:r>
        <w:rPr>
          <w:noProof/>
        </w:rPr>
        <w:t>20</w:t>
      </w:r>
      <w:r>
        <w:rPr>
          <w:noProof/>
        </w:rPr>
        <w:fldChar w:fldCharType="end"/>
      </w:r>
    </w:p>
    <w:p w14:paraId="10D632EE"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4.2</w:t>
      </w:r>
      <w:r>
        <w:rPr>
          <w:rFonts w:asciiTheme="minorHAnsi" w:hAnsiTheme="minorHAnsi"/>
          <w:noProof/>
          <w:sz w:val="24"/>
          <w:szCs w:val="24"/>
          <w:lang w:val="en-US" w:eastAsia="ja-JP"/>
        </w:rPr>
        <w:tab/>
      </w:r>
      <w:r w:rsidRPr="00D0110D">
        <w:rPr>
          <w:rFonts w:cs="Arial"/>
          <w:noProof/>
        </w:rPr>
        <w:t>Ministry of Niger Delta Affairs</w:t>
      </w:r>
      <w:r>
        <w:rPr>
          <w:noProof/>
        </w:rPr>
        <w:tab/>
      </w:r>
      <w:r>
        <w:rPr>
          <w:noProof/>
        </w:rPr>
        <w:fldChar w:fldCharType="begin"/>
      </w:r>
      <w:r>
        <w:rPr>
          <w:noProof/>
        </w:rPr>
        <w:instrText xml:space="preserve"> PAGEREF _Toc311709494 \h </w:instrText>
      </w:r>
      <w:r>
        <w:rPr>
          <w:noProof/>
        </w:rPr>
      </w:r>
      <w:r>
        <w:rPr>
          <w:noProof/>
        </w:rPr>
        <w:fldChar w:fldCharType="separate"/>
      </w:r>
      <w:r>
        <w:rPr>
          <w:noProof/>
        </w:rPr>
        <w:t>22</w:t>
      </w:r>
      <w:r>
        <w:rPr>
          <w:noProof/>
        </w:rPr>
        <w:fldChar w:fldCharType="end"/>
      </w:r>
    </w:p>
    <w:p w14:paraId="046C8B76"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4.3</w:t>
      </w:r>
      <w:r>
        <w:rPr>
          <w:rFonts w:asciiTheme="minorHAnsi" w:hAnsiTheme="minorHAnsi"/>
          <w:noProof/>
          <w:sz w:val="24"/>
          <w:szCs w:val="24"/>
          <w:lang w:val="en-US" w:eastAsia="ja-JP"/>
        </w:rPr>
        <w:tab/>
      </w:r>
      <w:r w:rsidRPr="00D0110D">
        <w:rPr>
          <w:rFonts w:cs="Arial"/>
          <w:noProof/>
        </w:rPr>
        <w:t>Hydrocarbons Pollution Remediation Project (HYPREP)</w:t>
      </w:r>
      <w:r>
        <w:rPr>
          <w:noProof/>
        </w:rPr>
        <w:tab/>
      </w:r>
      <w:r>
        <w:rPr>
          <w:noProof/>
        </w:rPr>
        <w:fldChar w:fldCharType="begin"/>
      </w:r>
      <w:r>
        <w:rPr>
          <w:noProof/>
        </w:rPr>
        <w:instrText xml:space="preserve"> PAGEREF _Toc311709495 \h </w:instrText>
      </w:r>
      <w:r>
        <w:rPr>
          <w:noProof/>
        </w:rPr>
      </w:r>
      <w:r>
        <w:rPr>
          <w:noProof/>
        </w:rPr>
        <w:fldChar w:fldCharType="separate"/>
      </w:r>
      <w:r>
        <w:rPr>
          <w:noProof/>
        </w:rPr>
        <w:t>23</w:t>
      </w:r>
      <w:r>
        <w:rPr>
          <w:noProof/>
        </w:rPr>
        <w:fldChar w:fldCharType="end"/>
      </w:r>
    </w:p>
    <w:p w14:paraId="532EEDC8"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4.4</w:t>
      </w:r>
      <w:r>
        <w:rPr>
          <w:rFonts w:asciiTheme="minorHAnsi" w:hAnsiTheme="minorHAnsi"/>
          <w:noProof/>
          <w:sz w:val="24"/>
          <w:szCs w:val="24"/>
          <w:lang w:val="en-US" w:eastAsia="ja-JP"/>
        </w:rPr>
        <w:tab/>
      </w:r>
      <w:r w:rsidRPr="00D0110D">
        <w:rPr>
          <w:rFonts w:cs="Arial"/>
          <w:noProof/>
        </w:rPr>
        <w:t>Presidential Amnesty Programme</w:t>
      </w:r>
      <w:r>
        <w:rPr>
          <w:noProof/>
        </w:rPr>
        <w:tab/>
      </w:r>
      <w:r>
        <w:rPr>
          <w:noProof/>
        </w:rPr>
        <w:fldChar w:fldCharType="begin"/>
      </w:r>
      <w:r>
        <w:rPr>
          <w:noProof/>
        </w:rPr>
        <w:instrText xml:space="preserve"> PAGEREF _Toc311709496 \h </w:instrText>
      </w:r>
      <w:r>
        <w:rPr>
          <w:noProof/>
        </w:rPr>
      </w:r>
      <w:r>
        <w:rPr>
          <w:noProof/>
        </w:rPr>
        <w:fldChar w:fldCharType="separate"/>
      </w:r>
      <w:r>
        <w:rPr>
          <w:noProof/>
        </w:rPr>
        <w:t>24</w:t>
      </w:r>
      <w:r>
        <w:rPr>
          <w:noProof/>
        </w:rPr>
        <w:fldChar w:fldCharType="end"/>
      </w:r>
    </w:p>
    <w:p w14:paraId="4A64E92C"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4.5</w:t>
      </w:r>
      <w:r>
        <w:rPr>
          <w:rFonts w:asciiTheme="minorHAnsi" w:hAnsiTheme="minorHAnsi"/>
          <w:noProof/>
          <w:sz w:val="24"/>
          <w:szCs w:val="24"/>
          <w:lang w:val="en-US" w:eastAsia="ja-JP"/>
        </w:rPr>
        <w:tab/>
      </w:r>
      <w:r w:rsidRPr="00D0110D">
        <w:rPr>
          <w:rFonts w:cs="Arial"/>
          <w:noProof/>
        </w:rPr>
        <w:t>Preliminary Conclusions and Way Forward</w:t>
      </w:r>
      <w:r>
        <w:rPr>
          <w:noProof/>
        </w:rPr>
        <w:tab/>
      </w:r>
      <w:r>
        <w:rPr>
          <w:noProof/>
        </w:rPr>
        <w:fldChar w:fldCharType="begin"/>
      </w:r>
      <w:r>
        <w:rPr>
          <w:noProof/>
        </w:rPr>
        <w:instrText xml:space="preserve"> PAGEREF _Toc311709497 \h </w:instrText>
      </w:r>
      <w:r>
        <w:rPr>
          <w:noProof/>
        </w:rPr>
      </w:r>
      <w:r>
        <w:rPr>
          <w:noProof/>
        </w:rPr>
        <w:fldChar w:fldCharType="separate"/>
      </w:r>
      <w:r>
        <w:rPr>
          <w:noProof/>
        </w:rPr>
        <w:t>25</w:t>
      </w:r>
      <w:r>
        <w:rPr>
          <w:noProof/>
        </w:rPr>
        <w:fldChar w:fldCharType="end"/>
      </w:r>
    </w:p>
    <w:p w14:paraId="1C521CD2"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5</w:t>
      </w:r>
      <w:r>
        <w:rPr>
          <w:rFonts w:asciiTheme="minorHAnsi" w:hAnsiTheme="minorHAnsi"/>
          <w:b w:val="0"/>
          <w:noProof/>
          <w:color w:val="auto"/>
          <w:lang w:val="en-US" w:eastAsia="ja-JP"/>
        </w:rPr>
        <w:tab/>
      </w:r>
      <w:r>
        <w:rPr>
          <w:noProof/>
        </w:rPr>
        <w:t>Fund Analysis and Impact Assessment</w:t>
      </w:r>
      <w:r>
        <w:rPr>
          <w:noProof/>
        </w:rPr>
        <w:tab/>
      </w:r>
      <w:r>
        <w:rPr>
          <w:noProof/>
        </w:rPr>
        <w:fldChar w:fldCharType="begin"/>
      </w:r>
      <w:r>
        <w:rPr>
          <w:noProof/>
        </w:rPr>
        <w:instrText xml:space="preserve"> PAGEREF _Toc311709498 \h </w:instrText>
      </w:r>
      <w:r>
        <w:rPr>
          <w:noProof/>
        </w:rPr>
      </w:r>
      <w:r>
        <w:rPr>
          <w:noProof/>
        </w:rPr>
        <w:fldChar w:fldCharType="separate"/>
      </w:r>
      <w:r>
        <w:rPr>
          <w:noProof/>
        </w:rPr>
        <w:t>30</w:t>
      </w:r>
      <w:r>
        <w:rPr>
          <w:noProof/>
        </w:rPr>
        <w:fldChar w:fldCharType="end"/>
      </w:r>
    </w:p>
    <w:p w14:paraId="152863FB"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5.1</w:t>
      </w:r>
      <w:r>
        <w:rPr>
          <w:rFonts w:asciiTheme="minorHAnsi" w:hAnsiTheme="minorHAnsi"/>
          <w:noProof/>
          <w:sz w:val="24"/>
          <w:szCs w:val="24"/>
          <w:lang w:val="en-US" w:eastAsia="ja-JP"/>
        </w:rPr>
        <w:tab/>
      </w:r>
      <w:r w:rsidRPr="00D0110D">
        <w:rPr>
          <w:rFonts w:cs="Arial"/>
          <w:noProof/>
        </w:rPr>
        <w:t>Fund Selection Criteria</w:t>
      </w:r>
      <w:r>
        <w:rPr>
          <w:noProof/>
        </w:rPr>
        <w:tab/>
      </w:r>
      <w:r>
        <w:rPr>
          <w:noProof/>
        </w:rPr>
        <w:fldChar w:fldCharType="begin"/>
      </w:r>
      <w:r>
        <w:rPr>
          <w:noProof/>
        </w:rPr>
        <w:instrText xml:space="preserve"> PAGEREF _Toc311709499 \h </w:instrText>
      </w:r>
      <w:r>
        <w:rPr>
          <w:noProof/>
        </w:rPr>
      </w:r>
      <w:r>
        <w:rPr>
          <w:noProof/>
        </w:rPr>
        <w:fldChar w:fldCharType="separate"/>
      </w:r>
      <w:r>
        <w:rPr>
          <w:noProof/>
        </w:rPr>
        <w:t>30</w:t>
      </w:r>
      <w:r>
        <w:rPr>
          <w:noProof/>
        </w:rPr>
        <w:fldChar w:fldCharType="end"/>
      </w:r>
    </w:p>
    <w:p w14:paraId="499056CB"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5.2</w:t>
      </w:r>
      <w:r>
        <w:rPr>
          <w:rFonts w:asciiTheme="minorHAnsi" w:hAnsiTheme="minorHAnsi"/>
          <w:noProof/>
          <w:sz w:val="24"/>
          <w:szCs w:val="24"/>
          <w:lang w:val="en-US" w:eastAsia="ja-JP"/>
        </w:rPr>
        <w:tab/>
      </w:r>
      <w:r w:rsidRPr="00D0110D">
        <w:rPr>
          <w:rFonts w:cs="Arial"/>
          <w:noProof/>
        </w:rPr>
        <w:t>Funding Levels, Mechanisms and Channels</w:t>
      </w:r>
      <w:r>
        <w:rPr>
          <w:noProof/>
        </w:rPr>
        <w:tab/>
      </w:r>
      <w:r>
        <w:rPr>
          <w:noProof/>
        </w:rPr>
        <w:fldChar w:fldCharType="begin"/>
      </w:r>
      <w:r>
        <w:rPr>
          <w:noProof/>
        </w:rPr>
        <w:instrText xml:space="preserve"> PAGEREF _Toc311709500 \h </w:instrText>
      </w:r>
      <w:r>
        <w:rPr>
          <w:noProof/>
        </w:rPr>
      </w:r>
      <w:r>
        <w:rPr>
          <w:noProof/>
        </w:rPr>
        <w:fldChar w:fldCharType="separate"/>
      </w:r>
      <w:r>
        <w:rPr>
          <w:noProof/>
        </w:rPr>
        <w:t>30</w:t>
      </w:r>
      <w:r>
        <w:rPr>
          <w:noProof/>
        </w:rPr>
        <w:fldChar w:fldCharType="end"/>
      </w:r>
    </w:p>
    <w:p w14:paraId="415E95F1"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5.3</w:t>
      </w:r>
      <w:r>
        <w:rPr>
          <w:rFonts w:asciiTheme="minorHAnsi" w:hAnsiTheme="minorHAnsi"/>
          <w:noProof/>
          <w:sz w:val="24"/>
          <w:szCs w:val="24"/>
          <w:lang w:val="en-US" w:eastAsia="ja-JP"/>
        </w:rPr>
        <w:tab/>
      </w:r>
      <w:r w:rsidRPr="00D0110D">
        <w:rPr>
          <w:rFonts w:cs="Arial"/>
          <w:noProof/>
        </w:rPr>
        <w:t>Governance Challenges with Fund Management</w:t>
      </w:r>
      <w:r>
        <w:rPr>
          <w:noProof/>
        </w:rPr>
        <w:tab/>
      </w:r>
      <w:r>
        <w:rPr>
          <w:noProof/>
        </w:rPr>
        <w:fldChar w:fldCharType="begin"/>
      </w:r>
      <w:r>
        <w:rPr>
          <w:noProof/>
        </w:rPr>
        <w:instrText xml:space="preserve"> PAGEREF _Toc311709501 \h </w:instrText>
      </w:r>
      <w:r>
        <w:rPr>
          <w:noProof/>
        </w:rPr>
      </w:r>
      <w:r>
        <w:rPr>
          <w:noProof/>
        </w:rPr>
        <w:fldChar w:fldCharType="separate"/>
      </w:r>
      <w:r>
        <w:rPr>
          <w:noProof/>
        </w:rPr>
        <w:t>35</w:t>
      </w:r>
      <w:r>
        <w:rPr>
          <w:noProof/>
        </w:rPr>
        <w:fldChar w:fldCharType="end"/>
      </w:r>
    </w:p>
    <w:p w14:paraId="64AB237A"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6</w:t>
      </w:r>
      <w:r>
        <w:rPr>
          <w:rFonts w:asciiTheme="minorHAnsi" w:hAnsiTheme="minorHAnsi"/>
          <w:b w:val="0"/>
          <w:noProof/>
          <w:color w:val="auto"/>
          <w:lang w:val="en-US" w:eastAsia="ja-JP"/>
        </w:rPr>
        <w:tab/>
      </w:r>
      <w:r>
        <w:rPr>
          <w:noProof/>
        </w:rPr>
        <w:t>Case Study: Presidential Amnesty Programme</w:t>
      </w:r>
      <w:r>
        <w:rPr>
          <w:noProof/>
        </w:rPr>
        <w:tab/>
      </w:r>
      <w:r>
        <w:rPr>
          <w:noProof/>
        </w:rPr>
        <w:fldChar w:fldCharType="begin"/>
      </w:r>
      <w:r>
        <w:rPr>
          <w:noProof/>
        </w:rPr>
        <w:instrText xml:space="preserve"> PAGEREF _Toc311709502 \h </w:instrText>
      </w:r>
      <w:r>
        <w:rPr>
          <w:noProof/>
        </w:rPr>
      </w:r>
      <w:r>
        <w:rPr>
          <w:noProof/>
        </w:rPr>
        <w:fldChar w:fldCharType="separate"/>
      </w:r>
      <w:r>
        <w:rPr>
          <w:noProof/>
        </w:rPr>
        <w:t>37</w:t>
      </w:r>
      <w:r>
        <w:rPr>
          <w:noProof/>
        </w:rPr>
        <w:fldChar w:fldCharType="end"/>
      </w:r>
    </w:p>
    <w:p w14:paraId="147CF2DD"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6.1</w:t>
      </w:r>
      <w:r>
        <w:rPr>
          <w:rFonts w:asciiTheme="minorHAnsi" w:hAnsiTheme="minorHAnsi"/>
          <w:noProof/>
          <w:sz w:val="24"/>
          <w:szCs w:val="24"/>
          <w:lang w:val="en-US" w:eastAsia="ja-JP"/>
        </w:rPr>
        <w:tab/>
      </w:r>
      <w:r w:rsidRPr="00D0110D">
        <w:rPr>
          <w:rFonts w:cs="Arial"/>
          <w:noProof/>
        </w:rPr>
        <w:t>About the Presidential Amnesty Programme</w:t>
      </w:r>
      <w:r>
        <w:rPr>
          <w:noProof/>
        </w:rPr>
        <w:tab/>
      </w:r>
      <w:r>
        <w:rPr>
          <w:noProof/>
        </w:rPr>
        <w:fldChar w:fldCharType="begin"/>
      </w:r>
      <w:r>
        <w:rPr>
          <w:noProof/>
        </w:rPr>
        <w:instrText xml:space="preserve"> PAGEREF _Toc311709503 \h </w:instrText>
      </w:r>
      <w:r>
        <w:rPr>
          <w:noProof/>
        </w:rPr>
      </w:r>
      <w:r>
        <w:rPr>
          <w:noProof/>
        </w:rPr>
        <w:fldChar w:fldCharType="separate"/>
      </w:r>
      <w:r>
        <w:rPr>
          <w:noProof/>
        </w:rPr>
        <w:t>37</w:t>
      </w:r>
      <w:r>
        <w:rPr>
          <w:noProof/>
        </w:rPr>
        <w:fldChar w:fldCharType="end"/>
      </w:r>
    </w:p>
    <w:p w14:paraId="187DBF36"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6.2</w:t>
      </w:r>
      <w:r>
        <w:rPr>
          <w:rFonts w:asciiTheme="minorHAnsi" w:hAnsiTheme="minorHAnsi"/>
          <w:noProof/>
          <w:sz w:val="24"/>
          <w:szCs w:val="24"/>
          <w:lang w:val="en-US" w:eastAsia="ja-JP"/>
        </w:rPr>
        <w:tab/>
      </w:r>
      <w:r w:rsidRPr="00D0110D">
        <w:rPr>
          <w:rFonts w:cs="Arial"/>
          <w:noProof/>
        </w:rPr>
        <w:t>Fund Allocations to the Presidential Amnesty Programme</w:t>
      </w:r>
      <w:r>
        <w:rPr>
          <w:noProof/>
        </w:rPr>
        <w:tab/>
      </w:r>
      <w:r>
        <w:rPr>
          <w:noProof/>
        </w:rPr>
        <w:fldChar w:fldCharType="begin"/>
      </w:r>
      <w:r>
        <w:rPr>
          <w:noProof/>
        </w:rPr>
        <w:instrText xml:space="preserve"> PAGEREF _Toc311709504 \h </w:instrText>
      </w:r>
      <w:r>
        <w:rPr>
          <w:noProof/>
        </w:rPr>
      </w:r>
      <w:r>
        <w:rPr>
          <w:noProof/>
        </w:rPr>
        <w:fldChar w:fldCharType="separate"/>
      </w:r>
      <w:r>
        <w:rPr>
          <w:noProof/>
        </w:rPr>
        <w:t>38</w:t>
      </w:r>
      <w:r>
        <w:rPr>
          <w:noProof/>
        </w:rPr>
        <w:fldChar w:fldCharType="end"/>
      </w:r>
    </w:p>
    <w:p w14:paraId="2B1D3390"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6.3</w:t>
      </w:r>
      <w:r>
        <w:rPr>
          <w:rFonts w:asciiTheme="minorHAnsi" w:hAnsiTheme="minorHAnsi"/>
          <w:noProof/>
          <w:sz w:val="24"/>
          <w:szCs w:val="24"/>
          <w:lang w:val="en-US" w:eastAsia="ja-JP"/>
        </w:rPr>
        <w:tab/>
      </w:r>
      <w:r w:rsidRPr="00D0110D">
        <w:rPr>
          <w:rFonts w:cs="Arial"/>
          <w:noProof/>
        </w:rPr>
        <w:t>Achievements of the Programme</w:t>
      </w:r>
      <w:r>
        <w:rPr>
          <w:noProof/>
        </w:rPr>
        <w:tab/>
      </w:r>
      <w:r>
        <w:rPr>
          <w:noProof/>
        </w:rPr>
        <w:fldChar w:fldCharType="begin"/>
      </w:r>
      <w:r>
        <w:rPr>
          <w:noProof/>
        </w:rPr>
        <w:instrText xml:space="preserve"> PAGEREF _Toc311709505 \h </w:instrText>
      </w:r>
      <w:r>
        <w:rPr>
          <w:noProof/>
        </w:rPr>
      </w:r>
      <w:r>
        <w:rPr>
          <w:noProof/>
        </w:rPr>
        <w:fldChar w:fldCharType="separate"/>
      </w:r>
      <w:r>
        <w:rPr>
          <w:noProof/>
        </w:rPr>
        <w:t>38</w:t>
      </w:r>
      <w:r>
        <w:rPr>
          <w:noProof/>
        </w:rPr>
        <w:fldChar w:fldCharType="end"/>
      </w:r>
    </w:p>
    <w:p w14:paraId="1A4FF6F4"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6.4</w:t>
      </w:r>
      <w:r>
        <w:rPr>
          <w:rFonts w:asciiTheme="minorHAnsi" w:hAnsiTheme="minorHAnsi"/>
          <w:noProof/>
          <w:sz w:val="24"/>
          <w:szCs w:val="24"/>
          <w:lang w:val="en-US" w:eastAsia="ja-JP"/>
        </w:rPr>
        <w:tab/>
      </w:r>
      <w:r w:rsidRPr="00D0110D">
        <w:rPr>
          <w:rFonts w:cs="Arial"/>
          <w:noProof/>
        </w:rPr>
        <w:t>Real Beneficiaries</w:t>
      </w:r>
      <w:r>
        <w:rPr>
          <w:noProof/>
        </w:rPr>
        <w:tab/>
      </w:r>
      <w:r>
        <w:rPr>
          <w:noProof/>
        </w:rPr>
        <w:fldChar w:fldCharType="begin"/>
      </w:r>
      <w:r>
        <w:rPr>
          <w:noProof/>
        </w:rPr>
        <w:instrText xml:space="preserve"> PAGEREF _Toc311709506 \h </w:instrText>
      </w:r>
      <w:r>
        <w:rPr>
          <w:noProof/>
        </w:rPr>
      </w:r>
      <w:r>
        <w:rPr>
          <w:noProof/>
        </w:rPr>
        <w:fldChar w:fldCharType="separate"/>
      </w:r>
      <w:r>
        <w:rPr>
          <w:noProof/>
        </w:rPr>
        <w:t>39</w:t>
      </w:r>
      <w:r>
        <w:rPr>
          <w:noProof/>
        </w:rPr>
        <w:fldChar w:fldCharType="end"/>
      </w:r>
    </w:p>
    <w:p w14:paraId="08C1A7BD"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6.5</w:t>
      </w:r>
      <w:r>
        <w:rPr>
          <w:rFonts w:asciiTheme="minorHAnsi" w:hAnsiTheme="minorHAnsi"/>
          <w:noProof/>
          <w:sz w:val="24"/>
          <w:szCs w:val="24"/>
          <w:lang w:val="en-US" w:eastAsia="ja-JP"/>
        </w:rPr>
        <w:tab/>
      </w:r>
      <w:r w:rsidRPr="00D0110D">
        <w:rPr>
          <w:rFonts w:cs="Arial"/>
          <w:noProof/>
        </w:rPr>
        <w:t>Long-Term Political and Economic Implications</w:t>
      </w:r>
      <w:r>
        <w:rPr>
          <w:noProof/>
        </w:rPr>
        <w:tab/>
      </w:r>
      <w:r>
        <w:rPr>
          <w:noProof/>
        </w:rPr>
        <w:fldChar w:fldCharType="begin"/>
      </w:r>
      <w:r>
        <w:rPr>
          <w:noProof/>
        </w:rPr>
        <w:instrText xml:space="preserve"> PAGEREF _Toc311709507 \h </w:instrText>
      </w:r>
      <w:r>
        <w:rPr>
          <w:noProof/>
        </w:rPr>
      </w:r>
      <w:r>
        <w:rPr>
          <w:noProof/>
        </w:rPr>
        <w:fldChar w:fldCharType="separate"/>
      </w:r>
      <w:r>
        <w:rPr>
          <w:noProof/>
        </w:rPr>
        <w:t>40</w:t>
      </w:r>
      <w:r>
        <w:rPr>
          <w:noProof/>
        </w:rPr>
        <w:fldChar w:fldCharType="end"/>
      </w:r>
    </w:p>
    <w:p w14:paraId="084CC0E0"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7</w:t>
      </w:r>
      <w:r>
        <w:rPr>
          <w:rFonts w:asciiTheme="minorHAnsi" w:hAnsiTheme="minorHAnsi"/>
          <w:b w:val="0"/>
          <w:noProof/>
          <w:color w:val="auto"/>
          <w:lang w:val="en-US" w:eastAsia="ja-JP"/>
        </w:rPr>
        <w:tab/>
      </w:r>
      <w:r>
        <w:rPr>
          <w:noProof/>
        </w:rPr>
        <w:t>Stakeholder Analysis</w:t>
      </w:r>
      <w:r>
        <w:rPr>
          <w:noProof/>
        </w:rPr>
        <w:tab/>
      </w:r>
      <w:r>
        <w:rPr>
          <w:noProof/>
        </w:rPr>
        <w:fldChar w:fldCharType="begin"/>
      </w:r>
      <w:r>
        <w:rPr>
          <w:noProof/>
        </w:rPr>
        <w:instrText xml:space="preserve"> PAGEREF _Toc311709508 \h </w:instrText>
      </w:r>
      <w:r>
        <w:rPr>
          <w:noProof/>
        </w:rPr>
      </w:r>
      <w:r>
        <w:rPr>
          <w:noProof/>
        </w:rPr>
        <w:fldChar w:fldCharType="separate"/>
      </w:r>
      <w:r>
        <w:rPr>
          <w:noProof/>
        </w:rPr>
        <w:t>42</w:t>
      </w:r>
      <w:r>
        <w:rPr>
          <w:noProof/>
        </w:rPr>
        <w:fldChar w:fldCharType="end"/>
      </w:r>
    </w:p>
    <w:p w14:paraId="0390023B"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7.1</w:t>
      </w:r>
      <w:r>
        <w:rPr>
          <w:rFonts w:asciiTheme="minorHAnsi" w:hAnsiTheme="minorHAnsi"/>
          <w:noProof/>
          <w:sz w:val="24"/>
          <w:szCs w:val="24"/>
          <w:lang w:val="en-US" w:eastAsia="ja-JP"/>
        </w:rPr>
        <w:tab/>
      </w:r>
      <w:r w:rsidRPr="00D0110D">
        <w:rPr>
          <w:rFonts w:cs="Arial"/>
          <w:noProof/>
        </w:rPr>
        <w:t>Description of Critical Stakeholders in the Niger Delta</w:t>
      </w:r>
      <w:r>
        <w:rPr>
          <w:noProof/>
        </w:rPr>
        <w:tab/>
      </w:r>
      <w:r>
        <w:rPr>
          <w:noProof/>
        </w:rPr>
        <w:fldChar w:fldCharType="begin"/>
      </w:r>
      <w:r>
        <w:rPr>
          <w:noProof/>
        </w:rPr>
        <w:instrText xml:space="preserve"> PAGEREF _Toc311709509 \h </w:instrText>
      </w:r>
      <w:r>
        <w:rPr>
          <w:noProof/>
        </w:rPr>
      </w:r>
      <w:r>
        <w:rPr>
          <w:noProof/>
        </w:rPr>
        <w:fldChar w:fldCharType="separate"/>
      </w:r>
      <w:r>
        <w:rPr>
          <w:noProof/>
        </w:rPr>
        <w:t>42</w:t>
      </w:r>
      <w:r>
        <w:rPr>
          <w:noProof/>
        </w:rPr>
        <w:fldChar w:fldCharType="end"/>
      </w:r>
    </w:p>
    <w:p w14:paraId="46B25565"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7.2</w:t>
      </w:r>
      <w:r>
        <w:rPr>
          <w:rFonts w:asciiTheme="minorHAnsi" w:hAnsiTheme="minorHAnsi"/>
          <w:noProof/>
          <w:sz w:val="24"/>
          <w:szCs w:val="24"/>
          <w:lang w:val="en-US" w:eastAsia="ja-JP"/>
        </w:rPr>
        <w:tab/>
      </w:r>
      <w:r w:rsidRPr="00D0110D">
        <w:rPr>
          <w:rFonts w:cs="Arial"/>
          <w:noProof/>
        </w:rPr>
        <w:t>Stakeholder Mapping and Analysis</w:t>
      </w:r>
      <w:r>
        <w:rPr>
          <w:noProof/>
        </w:rPr>
        <w:tab/>
      </w:r>
      <w:r>
        <w:rPr>
          <w:noProof/>
        </w:rPr>
        <w:fldChar w:fldCharType="begin"/>
      </w:r>
      <w:r>
        <w:rPr>
          <w:noProof/>
        </w:rPr>
        <w:instrText xml:space="preserve"> PAGEREF _Toc311709510 \h </w:instrText>
      </w:r>
      <w:r>
        <w:rPr>
          <w:noProof/>
        </w:rPr>
      </w:r>
      <w:r>
        <w:rPr>
          <w:noProof/>
        </w:rPr>
        <w:fldChar w:fldCharType="separate"/>
      </w:r>
      <w:r>
        <w:rPr>
          <w:noProof/>
        </w:rPr>
        <w:t>49</w:t>
      </w:r>
      <w:r>
        <w:rPr>
          <w:noProof/>
        </w:rPr>
        <w:fldChar w:fldCharType="end"/>
      </w:r>
    </w:p>
    <w:p w14:paraId="4282D3DD" w14:textId="77777777" w:rsidR="00ED5894" w:rsidRDefault="00ED5894">
      <w:pPr>
        <w:pStyle w:val="TOC3"/>
        <w:tabs>
          <w:tab w:val="left" w:pos="969"/>
        </w:tabs>
        <w:rPr>
          <w:rFonts w:asciiTheme="minorHAnsi" w:hAnsiTheme="minorHAnsi"/>
          <w:i w:val="0"/>
          <w:noProof/>
          <w:sz w:val="24"/>
          <w:szCs w:val="24"/>
          <w:lang w:val="en-US" w:eastAsia="ja-JP"/>
        </w:rPr>
      </w:pPr>
      <w:r>
        <w:rPr>
          <w:noProof/>
        </w:rPr>
        <w:t>7.2.1</w:t>
      </w:r>
      <w:r>
        <w:rPr>
          <w:rFonts w:asciiTheme="minorHAnsi" w:hAnsiTheme="minorHAnsi"/>
          <w:i w:val="0"/>
          <w:noProof/>
          <w:sz w:val="24"/>
          <w:szCs w:val="24"/>
          <w:lang w:val="en-US" w:eastAsia="ja-JP"/>
        </w:rPr>
        <w:tab/>
      </w:r>
      <w:r>
        <w:rPr>
          <w:noProof/>
        </w:rPr>
        <w:t>Quadrant 1 (Q1): High Power, High Interest</w:t>
      </w:r>
      <w:r>
        <w:rPr>
          <w:noProof/>
        </w:rPr>
        <w:tab/>
      </w:r>
      <w:r>
        <w:rPr>
          <w:noProof/>
        </w:rPr>
        <w:fldChar w:fldCharType="begin"/>
      </w:r>
      <w:r>
        <w:rPr>
          <w:noProof/>
        </w:rPr>
        <w:instrText xml:space="preserve"> PAGEREF _Toc311709511 \h </w:instrText>
      </w:r>
      <w:r>
        <w:rPr>
          <w:noProof/>
        </w:rPr>
      </w:r>
      <w:r>
        <w:rPr>
          <w:noProof/>
        </w:rPr>
        <w:fldChar w:fldCharType="separate"/>
      </w:r>
      <w:r>
        <w:rPr>
          <w:noProof/>
        </w:rPr>
        <w:t>49</w:t>
      </w:r>
      <w:r>
        <w:rPr>
          <w:noProof/>
        </w:rPr>
        <w:fldChar w:fldCharType="end"/>
      </w:r>
    </w:p>
    <w:p w14:paraId="3006ACC3" w14:textId="77777777" w:rsidR="00ED5894" w:rsidRDefault="00ED5894">
      <w:pPr>
        <w:pStyle w:val="TOC3"/>
        <w:tabs>
          <w:tab w:val="left" w:pos="969"/>
        </w:tabs>
        <w:rPr>
          <w:rFonts w:asciiTheme="minorHAnsi" w:hAnsiTheme="minorHAnsi"/>
          <w:i w:val="0"/>
          <w:noProof/>
          <w:sz w:val="24"/>
          <w:szCs w:val="24"/>
          <w:lang w:val="en-US" w:eastAsia="ja-JP"/>
        </w:rPr>
      </w:pPr>
      <w:r>
        <w:rPr>
          <w:noProof/>
        </w:rPr>
        <w:t>7.2.2</w:t>
      </w:r>
      <w:r>
        <w:rPr>
          <w:rFonts w:asciiTheme="minorHAnsi" w:hAnsiTheme="minorHAnsi"/>
          <w:i w:val="0"/>
          <w:noProof/>
          <w:sz w:val="24"/>
          <w:szCs w:val="24"/>
          <w:lang w:val="en-US" w:eastAsia="ja-JP"/>
        </w:rPr>
        <w:tab/>
      </w:r>
      <w:r>
        <w:rPr>
          <w:noProof/>
        </w:rPr>
        <w:t>Quadrant 2 (Q2): High Power, Low Interest</w:t>
      </w:r>
      <w:r>
        <w:rPr>
          <w:noProof/>
        </w:rPr>
        <w:tab/>
      </w:r>
      <w:r>
        <w:rPr>
          <w:noProof/>
        </w:rPr>
        <w:fldChar w:fldCharType="begin"/>
      </w:r>
      <w:r>
        <w:rPr>
          <w:noProof/>
        </w:rPr>
        <w:instrText xml:space="preserve"> PAGEREF _Toc311709512 \h </w:instrText>
      </w:r>
      <w:r>
        <w:rPr>
          <w:noProof/>
        </w:rPr>
      </w:r>
      <w:r>
        <w:rPr>
          <w:noProof/>
        </w:rPr>
        <w:fldChar w:fldCharType="separate"/>
      </w:r>
      <w:r>
        <w:rPr>
          <w:noProof/>
        </w:rPr>
        <w:t>49</w:t>
      </w:r>
      <w:r>
        <w:rPr>
          <w:noProof/>
        </w:rPr>
        <w:fldChar w:fldCharType="end"/>
      </w:r>
    </w:p>
    <w:p w14:paraId="0B1E88C3" w14:textId="77777777" w:rsidR="00ED5894" w:rsidRDefault="00ED5894">
      <w:pPr>
        <w:pStyle w:val="TOC3"/>
        <w:tabs>
          <w:tab w:val="left" w:pos="969"/>
        </w:tabs>
        <w:rPr>
          <w:rFonts w:asciiTheme="minorHAnsi" w:hAnsiTheme="minorHAnsi"/>
          <w:i w:val="0"/>
          <w:noProof/>
          <w:sz w:val="24"/>
          <w:szCs w:val="24"/>
          <w:lang w:val="en-US" w:eastAsia="ja-JP"/>
        </w:rPr>
      </w:pPr>
      <w:r>
        <w:rPr>
          <w:noProof/>
        </w:rPr>
        <w:t>7.2.3</w:t>
      </w:r>
      <w:r>
        <w:rPr>
          <w:rFonts w:asciiTheme="minorHAnsi" w:hAnsiTheme="minorHAnsi"/>
          <w:i w:val="0"/>
          <w:noProof/>
          <w:sz w:val="24"/>
          <w:szCs w:val="24"/>
          <w:lang w:val="en-US" w:eastAsia="ja-JP"/>
        </w:rPr>
        <w:tab/>
      </w:r>
      <w:r>
        <w:rPr>
          <w:noProof/>
        </w:rPr>
        <w:t>Quadrant 3 (Q3): Low Power, Low Interest</w:t>
      </w:r>
      <w:r>
        <w:rPr>
          <w:noProof/>
        </w:rPr>
        <w:tab/>
      </w:r>
      <w:r>
        <w:rPr>
          <w:noProof/>
        </w:rPr>
        <w:fldChar w:fldCharType="begin"/>
      </w:r>
      <w:r>
        <w:rPr>
          <w:noProof/>
        </w:rPr>
        <w:instrText xml:space="preserve"> PAGEREF _Toc311709513 \h </w:instrText>
      </w:r>
      <w:r>
        <w:rPr>
          <w:noProof/>
        </w:rPr>
      </w:r>
      <w:r>
        <w:rPr>
          <w:noProof/>
        </w:rPr>
        <w:fldChar w:fldCharType="separate"/>
      </w:r>
      <w:r>
        <w:rPr>
          <w:noProof/>
        </w:rPr>
        <w:t>50</w:t>
      </w:r>
      <w:r>
        <w:rPr>
          <w:noProof/>
        </w:rPr>
        <w:fldChar w:fldCharType="end"/>
      </w:r>
    </w:p>
    <w:p w14:paraId="2D71651A" w14:textId="77777777" w:rsidR="00ED5894" w:rsidRDefault="00ED5894">
      <w:pPr>
        <w:pStyle w:val="TOC3"/>
        <w:tabs>
          <w:tab w:val="left" w:pos="969"/>
        </w:tabs>
        <w:rPr>
          <w:rFonts w:asciiTheme="minorHAnsi" w:hAnsiTheme="minorHAnsi"/>
          <w:i w:val="0"/>
          <w:noProof/>
          <w:sz w:val="24"/>
          <w:szCs w:val="24"/>
          <w:lang w:val="en-US" w:eastAsia="ja-JP"/>
        </w:rPr>
      </w:pPr>
      <w:r>
        <w:rPr>
          <w:noProof/>
        </w:rPr>
        <w:t>7.2.4</w:t>
      </w:r>
      <w:r>
        <w:rPr>
          <w:rFonts w:asciiTheme="minorHAnsi" w:hAnsiTheme="minorHAnsi"/>
          <w:i w:val="0"/>
          <w:noProof/>
          <w:sz w:val="24"/>
          <w:szCs w:val="24"/>
          <w:lang w:val="en-US" w:eastAsia="ja-JP"/>
        </w:rPr>
        <w:tab/>
      </w:r>
      <w:r>
        <w:rPr>
          <w:noProof/>
        </w:rPr>
        <w:t>Quadrant 4 (Q4): Low Power, High Interest</w:t>
      </w:r>
      <w:r>
        <w:rPr>
          <w:noProof/>
        </w:rPr>
        <w:tab/>
      </w:r>
      <w:r>
        <w:rPr>
          <w:noProof/>
        </w:rPr>
        <w:fldChar w:fldCharType="begin"/>
      </w:r>
      <w:r>
        <w:rPr>
          <w:noProof/>
        </w:rPr>
        <w:instrText xml:space="preserve"> PAGEREF _Toc311709514 \h </w:instrText>
      </w:r>
      <w:r>
        <w:rPr>
          <w:noProof/>
        </w:rPr>
      </w:r>
      <w:r>
        <w:rPr>
          <w:noProof/>
        </w:rPr>
        <w:fldChar w:fldCharType="separate"/>
      </w:r>
      <w:r>
        <w:rPr>
          <w:noProof/>
        </w:rPr>
        <w:t>50</w:t>
      </w:r>
      <w:r>
        <w:rPr>
          <w:noProof/>
        </w:rPr>
        <w:fldChar w:fldCharType="end"/>
      </w:r>
    </w:p>
    <w:p w14:paraId="72405C20"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8</w:t>
      </w:r>
      <w:r>
        <w:rPr>
          <w:rFonts w:asciiTheme="minorHAnsi" w:hAnsiTheme="minorHAnsi"/>
          <w:b w:val="0"/>
          <w:noProof/>
          <w:color w:val="auto"/>
          <w:lang w:val="en-US" w:eastAsia="ja-JP"/>
        </w:rPr>
        <w:tab/>
      </w:r>
      <w:r>
        <w:rPr>
          <w:noProof/>
        </w:rPr>
        <w:t>Recommendations and Conclusion</w:t>
      </w:r>
      <w:r>
        <w:rPr>
          <w:noProof/>
        </w:rPr>
        <w:tab/>
      </w:r>
      <w:r>
        <w:rPr>
          <w:noProof/>
        </w:rPr>
        <w:fldChar w:fldCharType="begin"/>
      </w:r>
      <w:r>
        <w:rPr>
          <w:noProof/>
        </w:rPr>
        <w:instrText xml:space="preserve"> PAGEREF _Toc311709515 \h </w:instrText>
      </w:r>
      <w:r>
        <w:rPr>
          <w:noProof/>
        </w:rPr>
      </w:r>
      <w:r>
        <w:rPr>
          <w:noProof/>
        </w:rPr>
        <w:fldChar w:fldCharType="separate"/>
      </w:r>
      <w:r>
        <w:rPr>
          <w:noProof/>
        </w:rPr>
        <w:t>51</w:t>
      </w:r>
      <w:r>
        <w:rPr>
          <w:noProof/>
        </w:rPr>
        <w:fldChar w:fldCharType="end"/>
      </w:r>
    </w:p>
    <w:p w14:paraId="2A1B34FB"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8.1</w:t>
      </w:r>
      <w:r>
        <w:rPr>
          <w:rFonts w:asciiTheme="minorHAnsi" w:hAnsiTheme="minorHAnsi"/>
          <w:noProof/>
          <w:sz w:val="24"/>
          <w:szCs w:val="24"/>
          <w:lang w:val="en-US" w:eastAsia="ja-JP"/>
        </w:rPr>
        <w:tab/>
      </w:r>
      <w:r w:rsidRPr="00D0110D">
        <w:rPr>
          <w:rFonts w:cs="Arial"/>
          <w:noProof/>
        </w:rPr>
        <w:t>Recommendations</w:t>
      </w:r>
      <w:r>
        <w:rPr>
          <w:noProof/>
        </w:rPr>
        <w:tab/>
      </w:r>
      <w:r>
        <w:rPr>
          <w:noProof/>
        </w:rPr>
        <w:fldChar w:fldCharType="begin"/>
      </w:r>
      <w:r>
        <w:rPr>
          <w:noProof/>
        </w:rPr>
        <w:instrText xml:space="preserve"> PAGEREF _Toc311709516 \h </w:instrText>
      </w:r>
      <w:r>
        <w:rPr>
          <w:noProof/>
        </w:rPr>
      </w:r>
      <w:r>
        <w:rPr>
          <w:noProof/>
        </w:rPr>
        <w:fldChar w:fldCharType="separate"/>
      </w:r>
      <w:r>
        <w:rPr>
          <w:noProof/>
        </w:rPr>
        <w:t>51</w:t>
      </w:r>
      <w:r>
        <w:rPr>
          <w:noProof/>
        </w:rPr>
        <w:fldChar w:fldCharType="end"/>
      </w:r>
    </w:p>
    <w:p w14:paraId="70CC56AD" w14:textId="77777777" w:rsidR="00ED5894" w:rsidRDefault="00ED5894">
      <w:pPr>
        <w:pStyle w:val="TOC2"/>
        <w:tabs>
          <w:tab w:val="left" w:pos="546"/>
          <w:tab w:val="right" w:leader="dot" w:pos="9054"/>
        </w:tabs>
        <w:rPr>
          <w:rFonts w:asciiTheme="minorHAnsi" w:hAnsiTheme="minorHAnsi"/>
          <w:noProof/>
          <w:sz w:val="24"/>
          <w:szCs w:val="24"/>
          <w:lang w:val="en-US" w:eastAsia="ja-JP"/>
        </w:rPr>
      </w:pPr>
      <w:r w:rsidRPr="00D0110D">
        <w:rPr>
          <w:rFonts w:cs="Arial"/>
          <w:noProof/>
        </w:rPr>
        <w:t>8.2</w:t>
      </w:r>
      <w:r>
        <w:rPr>
          <w:rFonts w:asciiTheme="minorHAnsi" w:hAnsiTheme="minorHAnsi"/>
          <w:noProof/>
          <w:sz w:val="24"/>
          <w:szCs w:val="24"/>
          <w:lang w:val="en-US" w:eastAsia="ja-JP"/>
        </w:rPr>
        <w:tab/>
      </w:r>
      <w:r w:rsidRPr="00D0110D">
        <w:rPr>
          <w:rFonts w:cs="Arial"/>
          <w:noProof/>
        </w:rPr>
        <w:t>Conclusion</w:t>
      </w:r>
      <w:r>
        <w:rPr>
          <w:noProof/>
        </w:rPr>
        <w:tab/>
      </w:r>
      <w:r>
        <w:rPr>
          <w:noProof/>
        </w:rPr>
        <w:fldChar w:fldCharType="begin"/>
      </w:r>
      <w:r>
        <w:rPr>
          <w:noProof/>
        </w:rPr>
        <w:instrText xml:space="preserve"> PAGEREF _Toc311709517 \h </w:instrText>
      </w:r>
      <w:r>
        <w:rPr>
          <w:noProof/>
        </w:rPr>
      </w:r>
      <w:r>
        <w:rPr>
          <w:noProof/>
        </w:rPr>
        <w:fldChar w:fldCharType="separate"/>
      </w:r>
      <w:r>
        <w:rPr>
          <w:noProof/>
        </w:rPr>
        <w:t>51</w:t>
      </w:r>
      <w:r>
        <w:rPr>
          <w:noProof/>
        </w:rPr>
        <w:fldChar w:fldCharType="end"/>
      </w:r>
    </w:p>
    <w:p w14:paraId="6A260E5A" w14:textId="77777777" w:rsidR="00ED5894" w:rsidRDefault="00ED5894">
      <w:pPr>
        <w:pStyle w:val="TOC1"/>
        <w:tabs>
          <w:tab w:val="left" w:pos="362"/>
          <w:tab w:val="right" w:leader="dot" w:pos="9054"/>
        </w:tabs>
        <w:rPr>
          <w:rFonts w:asciiTheme="minorHAnsi" w:hAnsiTheme="minorHAnsi"/>
          <w:b w:val="0"/>
          <w:noProof/>
          <w:color w:val="auto"/>
          <w:lang w:val="en-US" w:eastAsia="ja-JP"/>
        </w:rPr>
      </w:pPr>
      <w:r>
        <w:rPr>
          <w:noProof/>
        </w:rPr>
        <w:t>9</w:t>
      </w:r>
      <w:r>
        <w:rPr>
          <w:rFonts w:asciiTheme="minorHAnsi" w:hAnsiTheme="minorHAnsi"/>
          <w:b w:val="0"/>
          <w:noProof/>
          <w:color w:val="auto"/>
          <w:lang w:val="en-US" w:eastAsia="ja-JP"/>
        </w:rPr>
        <w:tab/>
      </w:r>
      <w:r>
        <w:rPr>
          <w:noProof/>
        </w:rPr>
        <w:t>Annexes</w:t>
      </w:r>
      <w:r>
        <w:rPr>
          <w:noProof/>
        </w:rPr>
        <w:tab/>
      </w:r>
      <w:r>
        <w:rPr>
          <w:noProof/>
        </w:rPr>
        <w:fldChar w:fldCharType="begin"/>
      </w:r>
      <w:r>
        <w:rPr>
          <w:noProof/>
        </w:rPr>
        <w:instrText xml:space="preserve"> PAGEREF _Toc311709518 \h </w:instrText>
      </w:r>
      <w:r>
        <w:rPr>
          <w:noProof/>
        </w:rPr>
      </w:r>
      <w:r>
        <w:rPr>
          <w:noProof/>
        </w:rPr>
        <w:fldChar w:fldCharType="separate"/>
      </w:r>
      <w:r>
        <w:rPr>
          <w:noProof/>
        </w:rPr>
        <w:t>52</w:t>
      </w:r>
      <w:r>
        <w:rPr>
          <w:noProof/>
        </w:rPr>
        <w:fldChar w:fldCharType="end"/>
      </w:r>
    </w:p>
    <w:p w14:paraId="24CB7086" w14:textId="77777777" w:rsidR="008F3981" w:rsidRPr="00225669" w:rsidRDefault="00BE2E98" w:rsidP="00137DFE">
      <w:pPr>
        <w:pStyle w:val="TOC1"/>
        <w:jc w:val="both"/>
        <w:rPr>
          <w:rFonts w:ascii="Arial" w:hAnsi="Arial" w:cs="Arial"/>
          <w:color w:val="auto"/>
        </w:rPr>
      </w:pPr>
      <w:r w:rsidRPr="00225669">
        <w:rPr>
          <w:rFonts w:ascii="Arial" w:hAnsi="Arial" w:cs="Arial"/>
          <w:color w:val="auto"/>
        </w:rPr>
        <w:fldChar w:fldCharType="end"/>
      </w:r>
    </w:p>
    <w:p w14:paraId="37685E71" w14:textId="77777777" w:rsidR="00A71550" w:rsidRDefault="00BE2E98">
      <w:pPr>
        <w:pStyle w:val="TOC3"/>
        <w:rPr>
          <w:rFonts w:asciiTheme="minorHAnsi" w:hAnsiTheme="minorHAnsi"/>
          <w:i w:val="0"/>
          <w:noProof/>
          <w:sz w:val="24"/>
          <w:szCs w:val="24"/>
          <w:lang w:val="en-US" w:eastAsia="ja-JP"/>
        </w:rPr>
      </w:pPr>
      <w:r w:rsidRPr="00225669">
        <w:rPr>
          <w:rFonts w:eastAsia="Times New Roman" w:cs="Arial"/>
          <w:b/>
          <w:sz w:val="20"/>
        </w:rPr>
        <w:fldChar w:fldCharType="begin"/>
      </w:r>
      <w:r w:rsidR="00EF78E1" w:rsidRPr="00225669">
        <w:rPr>
          <w:rFonts w:eastAsia="Times New Roman" w:cs="Arial"/>
          <w:b/>
          <w:sz w:val="20"/>
        </w:rPr>
        <w:instrText xml:space="preserve"> TOC \t "TableList,3" </w:instrText>
      </w:r>
      <w:r w:rsidRPr="00225669">
        <w:rPr>
          <w:rFonts w:eastAsia="Times New Roman" w:cs="Arial"/>
          <w:b/>
          <w:sz w:val="20"/>
        </w:rPr>
        <w:fldChar w:fldCharType="separate"/>
      </w:r>
      <w:r w:rsidR="00A71550">
        <w:rPr>
          <w:noProof/>
        </w:rPr>
        <w:t>Table 1:</w:t>
      </w:r>
      <w:r w:rsidR="00A71550">
        <w:rPr>
          <w:rFonts w:asciiTheme="minorHAnsi" w:hAnsiTheme="minorHAnsi"/>
          <w:i w:val="0"/>
          <w:noProof/>
          <w:sz w:val="24"/>
          <w:szCs w:val="24"/>
          <w:lang w:val="en-US" w:eastAsia="ja-JP"/>
        </w:rPr>
        <w:tab/>
      </w:r>
      <w:r w:rsidR="00A71550">
        <w:rPr>
          <w:noProof/>
        </w:rPr>
        <w:t>Fund Flows into the Niger Delta from (2010-2014)</w:t>
      </w:r>
      <w:r w:rsidR="00A71550">
        <w:rPr>
          <w:noProof/>
        </w:rPr>
        <w:tab/>
      </w:r>
      <w:r w:rsidR="00A71550">
        <w:rPr>
          <w:noProof/>
        </w:rPr>
        <w:fldChar w:fldCharType="begin"/>
      </w:r>
      <w:r w:rsidR="00A71550">
        <w:rPr>
          <w:noProof/>
        </w:rPr>
        <w:instrText xml:space="preserve"> PAGEREF _Toc311707936 \h </w:instrText>
      </w:r>
      <w:r w:rsidR="00A71550">
        <w:rPr>
          <w:noProof/>
        </w:rPr>
      </w:r>
      <w:r w:rsidR="00A71550">
        <w:rPr>
          <w:noProof/>
        </w:rPr>
        <w:fldChar w:fldCharType="separate"/>
      </w:r>
      <w:r w:rsidR="00A71550">
        <w:rPr>
          <w:noProof/>
        </w:rPr>
        <w:t>31</w:t>
      </w:r>
      <w:r w:rsidR="00A71550">
        <w:rPr>
          <w:noProof/>
        </w:rPr>
        <w:fldChar w:fldCharType="end"/>
      </w:r>
    </w:p>
    <w:p w14:paraId="39FBD8C9" w14:textId="77777777" w:rsidR="00A71550" w:rsidRDefault="00A71550">
      <w:pPr>
        <w:pStyle w:val="TOC3"/>
        <w:rPr>
          <w:rFonts w:asciiTheme="minorHAnsi" w:hAnsiTheme="minorHAnsi"/>
          <w:i w:val="0"/>
          <w:noProof/>
          <w:sz w:val="24"/>
          <w:szCs w:val="24"/>
          <w:lang w:val="en-US" w:eastAsia="ja-JP"/>
        </w:rPr>
      </w:pPr>
      <w:r>
        <w:rPr>
          <w:noProof/>
        </w:rPr>
        <w:t>Table 2:</w:t>
      </w:r>
      <w:r>
        <w:rPr>
          <w:rFonts w:asciiTheme="minorHAnsi" w:hAnsiTheme="minorHAnsi"/>
          <w:i w:val="0"/>
          <w:noProof/>
          <w:sz w:val="24"/>
          <w:szCs w:val="24"/>
          <w:lang w:val="en-US" w:eastAsia="ja-JP"/>
        </w:rPr>
        <w:tab/>
      </w:r>
      <w:r>
        <w:rPr>
          <w:noProof/>
        </w:rPr>
        <w:t>Funds Allocation to Presidential Amnesty Programme</w:t>
      </w:r>
      <w:r>
        <w:rPr>
          <w:noProof/>
        </w:rPr>
        <w:tab/>
      </w:r>
      <w:r>
        <w:rPr>
          <w:noProof/>
        </w:rPr>
        <w:fldChar w:fldCharType="begin"/>
      </w:r>
      <w:r>
        <w:rPr>
          <w:noProof/>
        </w:rPr>
        <w:instrText xml:space="preserve"> PAGEREF _Toc311707937 \h </w:instrText>
      </w:r>
      <w:r>
        <w:rPr>
          <w:noProof/>
        </w:rPr>
      </w:r>
      <w:r>
        <w:rPr>
          <w:noProof/>
        </w:rPr>
        <w:fldChar w:fldCharType="separate"/>
      </w:r>
      <w:r>
        <w:rPr>
          <w:noProof/>
        </w:rPr>
        <w:t>38</w:t>
      </w:r>
      <w:r>
        <w:rPr>
          <w:noProof/>
        </w:rPr>
        <w:fldChar w:fldCharType="end"/>
      </w:r>
    </w:p>
    <w:p w14:paraId="0DB878A8" w14:textId="77777777" w:rsidR="00A71550" w:rsidRDefault="00A71550">
      <w:pPr>
        <w:pStyle w:val="TOC3"/>
        <w:rPr>
          <w:rFonts w:asciiTheme="minorHAnsi" w:hAnsiTheme="minorHAnsi"/>
          <w:i w:val="0"/>
          <w:noProof/>
          <w:sz w:val="24"/>
          <w:szCs w:val="24"/>
          <w:lang w:val="en-US" w:eastAsia="ja-JP"/>
        </w:rPr>
      </w:pPr>
      <w:r>
        <w:rPr>
          <w:noProof/>
        </w:rPr>
        <w:t>Table 3:</w:t>
      </w:r>
      <w:r>
        <w:rPr>
          <w:rFonts w:asciiTheme="minorHAnsi" w:hAnsiTheme="minorHAnsi"/>
          <w:i w:val="0"/>
          <w:noProof/>
          <w:sz w:val="24"/>
          <w:szCs w:val="24"/>
          <w:lang w:val="en-US" w:eastAsia="ja-JP"/>
        </w:rPr>
        <w:tab/>
      </w:r>
      <w:r>
        <w:rPr>
          <w:noProof/>
        </w:rPr>
        <w:t>Power and Interest Rating of Stakeholders in the Niger Delta</w:t>
      </w:r>
      <w:r>
        <w:rPr>
          <w:noProof/>
        </w:rPr>
        <w:tab/>
      </w:r>
      <w:r>
        <w:rPr>
          <w:noProof/>
        </w:rPr>
        <w:fldChar w:fldCharType="begin"/>
      </w:r>
      <w:r>
        <w:rPr>
          <w:noProof/>
        </w:rPr>
        <w:instrText xml:space="preserve"> PAGEREF _Toc311707938 \h </w:instrText>
      </w:r>
      <w:r>
        <w:rPr>
          <w:noProof/>
        </w:rPr>
      </w:r>
      <w:r>
        <w:rPr>
          <w:noProof/>
        </w:rPr>
        <w:fldChar w:fldCharType="separate"/>
      </w:r>
      <w:r>
        <w:rPr>
          <w:noProof/>
        </w:rPr>
        <w:t>42</w:t>
      </w:r>
      <w:r>
        <w:rPr>
          <w:noProof/>
        </w:rPr>
        <w:fldChar w:fldCharType="end"/>
      </w:r>
    </w:p>
    <w:p w14:paraId="78F96C24" w14:textId="77777777" w:rsidR="00A71550" w:rsidRDefault="00A71550">
      <w:pPr>
        <w:pStyle w:val="TOC3"/>
        <w:rPr>
          <w:rFonts w:asciiTheme="minorHAnsi" w:hAnsiTheme="minorHAnsi"/>
          <w:i w:val="0"/>
          <w:noProof/>
          <w:sz w:val="24"/>
          <w:szCs w:val="24"/>
          <w:lang w:val="en-US" w:eastAsia="ja-JP"/>
        </w:rPr>
      </w:pPr>
      <w:r>
        <w:rPr>
          <w:noProof/>
        </w:rPr>
        <w:t>Table 4:</w:t>
      </w:r>
      <w:r>
        <w:rPr>
          <w:rFonts w:asciiTheme="minorHAnsi" w:hAnsiTheme="minorHAnsi"/>
          <w:i w:val="0"/>
          <w:noProof/>
          <w:sz w:val="24"/>
          <w:szCs w:val="24"/>
          <w:lang w:val="en-US" w:eastAsia="ja-JP"/>
        </w:rPr>
        <w:tab/>
      </w:r>
      <w:r>
        <w:rPr>
          <w:noProof/>
        </w:rPr>
        <w:t>Funds Allocation to Ministry of Niger Delta Affairs</w:t>
      </w:r>
      <w:r>
        <w:rPr>
          <w:noProof/>
        </w:rPr>
        <w:tab/>
      </w:r>
      <w:r>
        <w:rPr>
          <w:noProof/>
        </w:rPr>
        <w:fldChar w:fldCharType="begin"/>
      </w:r>
      <w:r>
        <w:rPr>
          <w:noProof/>
        </w:rPr>
        <w:instrText xml:space="preserve"> PAGEREF _Toc311707939 \h </w:instrText>
      </w:r>
      <w:r>
        <w:rPr>
          <w:noProof/>
        </w:rPr>
      </w:r>
      <w:r>
        <w:rPr>
          <w:noProof/>
        </w:rPr>
        <w:fldChar w:fldCharType="separate"/>
      </w:r>
      <w:r>
        <w:rPr>
          <w:noProof/>
        </w:rPr>
        <w:t>52</w:t>
      </w:r>
      <w:r>
        <w:rPr>
          <w:noProof/>
        </w:rPr>
        <w:fldChar w:fldCharType="end"/>
      </w:r>
    </w:p>
    <w:p w14:paraId="13B69A3D" w14:textId="77777777" w:rsidR="00A71550" w:rsidRDefault="00A71550">
      <w:pPr>
        <w:pStyle w:val="TOC3"/>
        <w:rPr>
          <w:rFonts w:asciiTheme="minorHAnsi" w:hAnsiTheme="minorHAnsi"/>
          <w:i w:val="0"/>
          <w:noProof/>
          <w:sz w:val="24"/>
          <w:szCs w:val="24"/>
          <w:lang w:val="en-US" w:eastAsia="ja-JP"/>
        </w:rPr>
      </w:pPr>
      <w:r>
        <w:rPr>
          <w:noProof/>
        </w:rPr>
        <w:t>Table 5:</w:t>
      </w:r>
      <w:r>
        <w:rPr>
          <w:rFonts w:asciiTheme="minorHAnsi" w:hAnsiTheme="minorHAnsi"/>
          <w:i w:val="0"/>
          <w:noProof/>
          <w:sz w:val="24"/>
          <w:szCs w:val="24"/>
          <w:lang w:val="en-US" w:eastAsia="ja-JP"/>
        </w:rPr>
        <w:tab/>
      </w:r>
      <w:r>
        <w:rPr>
          <w:noProof/>
        </w:rPr>
        <w:t>Fund Allocation to Niger Delta Development Commission</w:t>
      </w:r>
      <w:r>
        <w:rPr>
          <w:noProof/>
        </w:rPr>
        <w:tab/>
      </w:r>
      <w:r>
        <w:rPr>
          <w:noProof/>
        </w:rPr>
        <w:fldChar w:fldCharType="begin"/>
      </w:r>
      <w:r>
        <w:rPr>
          <w:noProof/>
        </w:rPr>
        <w:instrText xml:space="preserve"> PAGEREF _Toc311707940 \h </w:instrText>
      </w:r>
      <w:r>
        <w:rPr>
          <w:noProof/>
        </w:rPr>
      </w:r>
      <w:r>
        <w:rPr>
          <w:noProof/>
        </w:rPr>
        <w:fldChar w:fldCharType="separate"/>
      </w:r>
      <w:r>
        <w:rPr>
          <w:noProof/>
        </w:rPr>
        <w:t>52</w:t>
      </w:r>
      <w:r>
        <w:rPr>
          <w:noProof/>
        </w:rPr>
        <w:fldChar w:fldCharType="end"/>
      </w:r>
    </w:p>
    <w:p w14:paraId="5F47E50F" w14:textId="77777777" w:rsidR="00A71550" w:rsidRDefault="00A71550">
      <w:pPr>
        <w:pStyle w:val="TOC3"/>
        <w:rPr>
          <w:rFonts w:asciiTheme="minorHAnsi" w:hAnsiTheme="minorHAnsi"/>
          <w:i w:val="0"/>
          <w:noProof/>
          <w:sz w:val="24"/>
          <w:szCs w:val="24"/>
          <w:lang w:val="en-US" w:eastAsia="ja-JP"/>
        </w:rPr>
      </w:pPr>
      <w:r>
        <w:rPr>
          <w:noProof/>
        </w:rPr>
        <w:t>Table 6:</w:t>
      </w:r>
      <w:r>
        <w:rPr>
          <w:rFonts w:asciiTheme="minorHAnsi" w:hAnsiTheme="minorHAnsi"/>
          <w:i w:val="0"/>
          <w:noProof/>
          <w:sz w:val="24"/>
          <w:szCs w:val="24"/>
          <w:lang w:val="en-US" w:eastAsia="ja-JP"/>
        </w:rPr>
        <w:tab/>
      </w:r>
      <w:r>
        <w:rPr>
          <w:noProof/>
        </w:rPr>
        <w:t>Fund Allocation to Presidential Amnesty Programme</w:t>
      </w:r>
      <w:r>
        <w:rPr>
          <w:noProof/>
        </w:rPr>
        <w:tab/>
      </w:r>
      <w:r>
        <w:rPr>
          <w:noProof/>
        </w:rPr>
        <w:fldChar w:fldCharType="begin"/>
      </w:r>
      <w:r>
        <w:rPr>
          <w:noProof/>
        </w:rPr>
        <w:instrText xml:space="preserve"> PAGEREF _Toc311707941 \h </w:instrText>
      </w:r>
      <w:r>
        <w:rPr>
          <w:noProof/>
        </w:rPr>
      </w:r>
      <w:r>
        <w:rPr>
          <w:noProof/>
        </w:rPr>
        <w:fldChar w:fldCharType="separate"/>
      </w:r>
      <w:r>
        <w:rPr>
          <w:noProof/>
        </w:rPr>
        <w:t>52</w:t>
      </w:r>
      <w:r>
        <w:rPr>
          <w:noProof/>
        </w:rPr>
        <w:fldChar w:fldCharType="end"/>
      </w:r>
    </w:p>
    <w:p w14:paraId="642B548D" w14:textId="77777777" w:rsidR="00A71550" w:rsidRDefault="00A71550">
      <w:pPr>
        <w:pStyle w:val="TOC3"/>
        <w:rPr>
          <w:rFonts w:asciiTheme="minorHAnsi" w:hAnsiTheme="minorHAnsi"/>
          <w:i w:val="0"/>
          <w:noProof/>
          <w:sz w:val="24"/>
          <w:szCs w:val="24"/>
          <w:lang w:val="en-US" w:eastAsia="ja-JP"/>
        </w:rPr>
      </w:pPr>
      <w:r>
        <w:rPr>
          <w:noProof/>
        </w:rPr>
        <w:t>Table 7:</w:t>
      </w:r>
      <w:r>
        <w:rPr>
          <w:rFonts w:asciiTheme="minorHAnsi" w:hAnsiTheme="minorHAnsi"/>
          <w:i w:val="0"/>
          <w:noProof/>
          <w:sz w:val="24"/>
          <w:szCs w:val="24"/>
          <w:lang w:val="en-US" w:eastAsia="ja-JP"/>
        </w:rPr>
        <w:tab/>
      </w:r>
      <w:r>
        <w:rPr>
          <w:noProof/>
        </w:rPr>
        <w:t>Federal Government Allocationsto Nine (9) Niger Delta States</w:t>
      </w:r>
      <w:r>
        <w:rPr>
          <w:noProof/>
        </w:rPr>
        <w:tab/>
      </w:r>
      <w:r>
        <w:rPr>
          <w:noProof/>
        </w:rPr>
        <w:fldChar w:fldCharType="begin"/>
      </w:r>
      <w:r>
        <w:rPr>
          <w:noProof/>
        </w:rPr>
        <w:instrText xml:space="preserve"> PAGEREF _Toc311707942 \h </w:instrText>
      </w:r>
      <w:r>
        <w:rPr>
          <w:noProof/>
        </w:rPr>
      </w:r>
      <w:r>
        <w:rPr>
          <w:noProof/>
        </w:rPr>
        <w:fldChar w:fldCharType="separate"/>
      </w:r>
      <w:r>
        <w:rPr>
          <w:noProof/>
        </w:rPr>
        <w:t>53</w:t>
      </w:r>
      <w:r>
        <w:rPr>
          <w:noProof/>
        </w:rPr>
        <w:fldChar w:fldCharType="end"/>
      </w:r>
    </w:p>
    <w:p w14:paraId="6D5798D6" w14:textId="77777777" w:rsidR="00A71550" w:rsidRDefault="00A71550">
      <w:pPr>
        <w:pStyle w:val="TOC3"/>
        <w:rPr>
          <w:rFonts w:asciiTheme="minorHAnsi" w:hAnsiTheme="minorHAnsi"/>
          <w:i w:val="0"/>
          <w:noProof/>
          <w:sz w:val="24"/>
          <w:szCs w:val="24"/>
          <w:lang w:val="en-US" w:eastAsia="ja-JP"/>
        </w:rPr>
      </w:pPr>
      <w:r>
        <w:rPr>
          <w:noProof/>
        </w:rPr>
        <w:t>Table 8:</w:t>
      </w:r>
      <w:r>
        <w:rPr>
          <w:rFonts w:asciiTheme="minorHAnsi" w:hAnsiTheme="minorHAnsi"/>
          <w:i w:val="0"/>
          <w:noProof/>
          <w:sz w:val="24"/>
          <w:szCs w:val="24"/>
          <w:lang w:val="en-US" w:eastAsia="ja-JP"/>
        </w:rPr>
        <w:tab/>
      </w:r>
      <w:r>
        <w:rPr>
          <w:noProof/>
        </w:rPr>
        <w:t>Value Added Tax to States and Local Government Areas</w:t>
      </w:r>
      <w:r>
        <w:rPr>
          <w:noProof/>
        </w:rPr>
        <w:tab/>
      </w:r>
      <w:r>
        <w:rPr>
          <w:noProof/>
        </w:rPr>
        <w:fldChar w:fldCharType="begin"/>
      </w:r>
      <w:r>
        <w:rPr>
          <w:noProof/>
        </w:rPr>
        <w:instrText xml:space="preserve"> PAGEREF _Toc311707943 \h </w:instrText>
      </w:r>
      <w:r>
        <w:rPr>
          <w:noProof/>
        </w:rPr>
      </w:r>
      <w:r>
        <w:rPr>
          <w:noProof/>
        </w:rPr>
        <w:fldChar w:fldCharType="separate"/>
      </w:r>
      <w:r>
        <w:rPr>
          <w:noProof/>
        </w:rPr>
        <w:t>53</w:t>
      </w:r>
      <w:r>
        <w:rPr>
          <w:noProof/>
        </w:rPr>
        <w:fldChar w:fldCharType="end"/>
      </w:r>
    </w:p>
    <w:p w14:paraId="548F2DFF" w14:textId="77777777" w:rsidR="00A71550" w:rsidRDefault="00A71550">
      <w:pPr>
        <w:pStyle w:val="TOC3"/>
        <w:rPr>
          <w:rFonts w:asciiTheme="minorHAnsi" w:hAnsiTheme="minorHAnsi"/>
          <w:i w:val="0"/>
          <w:noProof/>
          <w:sz w:val="24"/>
          <w:szCs w:val="24"/>
          <w:lang w:val="en-US" w:eastAsia="ja-JP"/>
        </w:rPr>
      </w:pPr>
      <w:r>
        <w:rPr>
          <w:noProof/>
        </w:rPr>
        <w:t>Table 9:</w:t>
      </w:r>
      <w:r>
        <w:rPr>
          <w:rFonts w:asciiTheme="minorHAnsi" w:hAnsiTheme="minorHAnsi"/>
          <w:i w:val="0"/>
          <w:noProof/>
          <w:sz w:val="24"/>
          <w:szCs w:val="24"/>
          <w:lang w:val="en-US" w:eastAsia="ja-JP"/>
        </w:rPr>
        <w:tab/>
      </w:r>
      <w:r>
        <w:rPr>
          <w:noProof/>
        </w:rPr>
        <w:t>Oil Companies (GMoU)</w:t>
      </w:r>
      <w:r>
        <w:rPr>
          <w:noProof/>
        </w:rPr>
        <w:tab/>
      </w:r>
      <w:r>
        <w:rPr>
          <w:noProof/>
        </w:rPr>
        <w:fldChar w:fldCharType="begin"/>
      </w:r>
      <w:r>
        <w:rPr>
          <w:noProof/>
        </w:rPr>
        <w:instrText xml:space="preserve"> PAGEREF _Toc311707944 \h </w:instrText>
      </w:r>
      <w:r>
        <w:rPr>
          <w:noProof/>
        </w:rPr>
      </w:r>
      <w:r>
        <w:rPr>
          <w:noProof/>
        </w:rPr>
        <w:fldChar w:fldCharType="separate"/>
      </w:r>
      <w:r>
        <w:rPr>
          <w:noProof/>
        </w:rPr>
        <w:t>54</w:t>
      </w:r>
      <w:r>
        <w:rPr>
          <w:noProof/>
        </w:rPr>
        <w:fldChar w:fldCharType="end"/>
      </w:r>
    </w:p>
    <w:p w14:paraId="13E46AFA" w14:textId="77777777" w:rsidR="00A71550" w:rsidRDefault="00A71550">
      <w:pPr>
        <w:pStyle w:val="TOC3"/>
        <w:tabs>
          <w:tab w:val="left" w:pos="1397"/>
        </w:tabs>
        <w:rPr>
          <w:rFonts w:asciiTheme="minorHAnsi" w:hAnsiTheme="minorHAnsi"/>
          <w:i w:val="0"/>
          <w:noProof/>
          <w:sz w:val="24"/>
          <w:szCs w:val="24"/>
          <w:lang w:val="en-US" w:eastAsia="ja-JP"/>
        </w:rPr>
      </w:pPr>
      <w:r>
        <w:rPr>
          <w:noProof/>
        </w:rPr>
        <w:t>Table 10:</w:t>
      </w:r>
      <w:r>
        <w:rPr>
          <w:rFonts w:asciiTheme="minorHAnsi" w:hAnsiTheme="minorHAnsi"/>
          <w:i w:val="0"/>
          <w:noProof/>
          <w:sz w:val="24"/>
          <w:szCs w:val="24"/>
          <w:lang w:val="en-US" w:eastAsia="ja-JP"/>
        </w:rPr>
        <w:tab/>
      </w:r>
      <w:r>
        <w:rPr>
          <w:noProof/>
        </w:rPr>
        <w:t>Development Agencies</w:t>
      </w:r>
      <w:r>
        <w:rPr>
          <w:noProof/>
        </w:rPr>
        <w:tab/>
      </w:r>
      <w:r>
        <w:rPr>
          <w:noProof/>
        </w:rPr>
        <w:fldChar w:fldCharType="begin"/>
      </w:r>
      <w:r>
        <w:rPr>
          <w:noProof/>
        </w:rPr>
        <w:instrText xml:space="preserve"> PAGEREF _Toc311707945 \h </w:instrText>
      </w:r>
      <w:r>
        <w:rPr>
          <w:noProof/>
        </w:rPr>
      </w:r>
      <w:r>
        <w:rPr>
          <w:noProof/>
        </w:rPr>
        <w:fldChar w:fldCharType="separate"/>
      </w:r>
      <w:r>
        <w:rPr>
          <w:noProof/>
        </w:rPr>
        <w:t>54</w:t>
      </w:r>
      <w:r>
        <w:rPr>
          <w:noProof/>
        </w:rPr>
        <w:fldChar w:fldCharType="end"/>
      </w:r>
    </w:p>
    <w:p w14:paraId="3CE8BC68" w14:textId="77777777" w:rsidR="00A71550" w:rsidRDefault="00A71550">
      <w:pPr>
        <w:pStyle w:val="TOC3"/>
        <w:tabs>
          <w:tab w:val="left" w:pos="1397"/>
        </w:tabs>
        <w:rPr>
          <w:rFonts w:asciiTheme="minorHAnsi" w:hAnsiTheme="minorHAnsi"/>
          <w:i w:val="0"/>
          <w:noProof/>
          <w:sz w:val="24"/>
          <w:szCs w:val="24"/>
          <w:lang w:val="en-US" w:eastAsia="ja-JP"/>
        </w:rPr>
      </w:pPr>
      <w:r>
        <w:rPr>
          <w:noProof/>
        </w:rPr>
        <w:t>Table 11:</w:t>
      </w:r>
      <w:r>
        <w:rPr>
          <w:rFonts w:asciiTheme="minorHAnsi" w:hAnsiTheme="minorHAnsi"/>
          <w:i w:val="0"/>
          <w:noProof/>
          <w:sz w:val="24"/>
          <w:szCs w:val="24"/>
          <w:lang w:val="en-US" w:eastAsia="ja-JP"/>
        </w:rPr>
        <w:tab/>
      </w:r>
      <w:r>
        <w:rPr>
          <w:noProof/>
        </w:rPr>
        <w:t>Millennium Development Goals</w:t>
      </w:r>
      <w:r>
        <w:rPr>
          <w:noProof/>
        </w:rPr>
        <w:tab/>
      </w:r>
      <w:r>
        <w:rPr>
          <w:noProof/>
        </w:rPr>
        <w:fldChar w:fldCharType="begin"/>
      </w:r>
      <w:r>
        <w:rPr>
          <w:noProof/>
        </w:rPr>
        <w:instrText xml:space="preserve"> PAGEREF _Toc311707946 \h </w:instrText>
      </w:r>
      <w:r>
        <w:rPr>
          <w:noProof/>
        </w:rPr>
      </w:r>
      <w:r>
        <w:rPr>
          <w:noProof/>
        </w:rPr>
        <w:fldChar w:fldCharType="separate"/>
      </w:r>
      <w:r>
        <w:rPr>
          <w:noProof/>
        </w:rPr>
        <w:t>55</w:t>
      </w:r>
      <w:r>
        <w:rPr>
          <w:noProof/>
        </w:rPr>
        <w:fldChar w:fldCharType="end"/>
      </w:r>
    </w:p>
    <w:p w14:paraId="4790B57A" w14:textId="77777777" w:rsidR="00A71550" w:rsidRDefault="00A71550">
      <w:pPr>
        <w:pStyle w:val="TOC3"/>
        <w:tabs>
          <w:tab w:val="left" w:pos="1397"/>
        </w:tabs>
        <w:rPr>
          <w:rFonts w:asciiTheme="minorHAnsi" w:hAnsiTheme="minorHAnsi"/>
          <w:i w:val="0"/>
          <w:noProof/>
          <w:sz w:val="24"/>
          <w:szCs w:val="24"/>
          <w:lang w:val="en-US" w:eastAsia="ja-JP"/>
        </w:rPr>
      </w:pPr>
      <w:r>
        <w:rPr>
          <w:noProof/>
        </w:rPr>
        <w:t>Table 12:</w:t>
      </w:r>
      <w:r>
        <w:rPr>
          <w:rFonts w:asciiTheme="minorHAnsi" w:hAnsiTheme="minorHAnsi"/>
          <w:i w:val="0"/>
          <w:noProof/>
          <w:sz w:val="24"/>
          <w:szCs w:val="24"/>
          <w:lang w:val="en-US" w:eastAsia="ja-JP"/>
        </w:rPr>
        <w:tab/>
      </w:r>
      <w:r>
        <w:rPr>
          <w:noProof/>
        </w:rPr>
        <w:t>Ecological Funds</w:t>
      </w:r>
      <w:r>
        <w:rPr>
          <w:noProof/>
        </w:rPr>
        <w:tab/>
      </w:r>
      <w:r>
        <w:rPr>
          <w:noProof/>
        </w:rPr>
        <w:fldChar w:fldCharType="begin"/>
      </w:r>
      <w:r>
        <w:rPr>
          <w:noProof/>
        </w:rPr>
        <w:instrText xml:space="preserve"> PAGEREF _Toc311707947 \h </w:instrText>
      </w:r>
      <w:r>
        <w:rPr>
          <w:noProof/>
        </w:rPr>
      </w:r>
      <w:r>
        <w:rPr>
          <w:noProof/>
        </w:rPr>
        <w:fldChar w:fldCharType="separate"/>
      </w:r>
      <w:r>
        <w:rPr>
          <w:noProof/>
        </w:rPr>
        <w:t>55</w:t>
      </w:r>
      <w:r>
        <w:rPr>
          <w:noProof/>
        </w:rPr>
        <w:fldChar w:fldCharType="end"/>
      </w:r>
    </w:p>
    <w:p w14:paraId="13862972" w14:textId="1C72FCE1" w:rsidR="00541FF4" w:rsidRPr="002F54D4" w:rsidRDefault="00BE2E98" w:rsidP="002F54D4">
      <w:pPr>
        <w:pStyle w:val="TOC1"/>
        <w:jc w:val="both"/>
        <w:rPr>
          <w:rFonts w:ascii="Arial" w:eastAsia="Times New Roman" w:hAnsi="Arial" w:cs="Arial"/>
          <w:b w:val="0"/>
          <w:color w:val="auto"/>
          <w:sz w:val="20"/>
          <w:szCs w:val="22"/>
        </w:rPr>
      </w:pPr>
      <w:r w:rsidRPr="00225669">
        <w:rPr>
          <w:rFonts w:ascii="Arial" w:eastAsia="Times New Roman" w:hAnsi="Arial" w:cs="Arial"/>
          <w:b w:val="0"/>
          <w:color w:val="auto"/>
          <w:sz w:val="20"/>
          <w:szCs w:val="22"/>
        </w:rPr>
        <w:fldChar w:fldCharType="end"/>
      </w:r>
    </w:p>
    <w:p w14:paraId="1CF0B7A2" w14:textId="77777777" w:rsidR="00736D4E" w:rsidRPr="00225669" w:rsidRDefault="00541FF4" w:rsidP="00137DFE">
      <w:pPr>
        <w:widowControl w:val="0"/>
        <w:autoSpaceDE w:val="0"/>
        <w:autoSpaceDN w:val="0"/>
        <w:adjustRightInd w:val="0"/>
        <w:jc w:val="both"/>
        <w:rPr>
          <w:rFonts w:eastAsia="Times New Roman" w:cs="Arial"/>
        </w:rPr>
      </w:pPr>
      <w:r w:rsidRPr="00225669">
        <w:rPr>
          <w:rFonts w:cs="Arial"/>
        </w:rPr>
        <w:br w:type="page"/>
      </w:r>
    </w:p>
    <w:p w14:paraId="59C184B0" w14:textId="77777777" w:rsidR="00541FF4" w:rsidRPr="00225669" w:rsidRDefault="006729DC" w:rsidP="00137DFE">
      <w:pPr>
        <w:pStyle w:val="Heading1"/>
      </w:pPr>
      <w:bookmarkStart w:id="1" w:name="_Toc306882395"/>
      <w:bookmarkStart w:id="2" w:name="_Toc311709480"/>
      <w:r w:rsidRPr="00225669">
        <w:t>Executive Summary</w:t>
      </w:r>
      <w:bookmarkEnd w:id="1"/>
      <w:bookmarkEnd w:id="2"/>
    </w:p>
    <w:p w14:paraId="700C2EAC" w14:textId="5BB62225" w:rsidR="00700995" w:rsidRPr="00225669" w:rsidRDefault="007E061B" w:rsidP="00137DFE">
      <w:pPr>
        <w:jc w:val="both"/>
        <w:rPr>
          <w:rFonts w:cs="Arial"/>
        </w:rPr>
      </w:pPr>
      <w:r w:rsidRPr="00225669">
        <w:rPr>
          <w:rFonts w:cs="Arial"/>
        </w:rPr>
        <w:t xml:space="preserve">This report is </w:t>
      </w:r>
      <w:r w:rsidR="00735D8A" w:rsidRPr="00225669">
        <w:rPr>
          <w:rFonts w:cs="Arial"/>
        </w:rPr>
        <w:t xml:space="preserve">a </w:t>
      </w:r>
      <w:r w:rsidR="00F378F3" w:rsidRPr="00225669">
        <w:rPr>
          <w:rFonts w:cs="Arial"/>
        </w:rPr>
        <w:t>p</w:t>
      </w:r>
      <w:r w:rsidRPr="00225669">
        <w:rPr>
          <w:rFonts w:cs="Arial"/>
        </w:rPr>
        <w:t xml:space="preserve">olitical </w:t>
      </w:r>
      <w:r w:rsidR="00F378F3" w:rsidRPr="00225669">
        <w:rPr>
          <w:rFonts w:cs="Arial"/>
        </w:rPr>
        <w:t>e</w:t>
      </w:r>
      <w:r w:rsidRPr="00225669">
        <w:rPr>
          <w:rFonts w:cs="Arial"/>
        </w:rPr>
        <w:t xml:space="preserve">conomy </w:t>
      </w:r>
      <w:r w:rsidR="00F378F3" w:rsidRPr="00225669">
        <w:rPr>
          <w:rFonts w:cs="Arial"/>
        </w:rPr>
        <w:t>a</w:t>
      </w:r>
      <w:r w:rsidRPr="00225669">
        <w:rPr>
          <w:rFonts w:cs="Arial"/>
        </w:rPr>
        <w:t>nalysis o</w:t>
      </w:r>
      <w:r w:rsidR="00735D8A" w:rsidRPr="00225669">
        <w:rPr>
          <w:rFonts w:cs="Arial"/>
        </w:rPr>
        <w:t>f</w:t>
      </w:r>
      <w:r w:rsidRPr="00225669">
        <w:rPr>
          <w:rFonts w:cs="Arial"/>
        </w:rPr>
        <w:t xml:space="preserve"> the funds set up </w:t>
      </w:r>
      <w:r w:rsidR="00735D8A" w:rsidRPr="00225669">
        <w:rPr>
          <w:rFonts w:cs="Arial"/>
        </w:rPr>
        <w:t xml:space="preserve">and provided </w:t>
      </w:r>
      <w:r w:rsidRPr="00225669">
        <w:rPr>
          <w:rFonts w:cs="Arial"/>
        </w:rPr>
        <w:t xml:space="preserve">by the Federal Government </w:t>
      </w:r>
      <w:r w:rsidR="005B6F40" w:rsidRPr="00225669">
        <w:rPr>
          <w:rFonts w:cs="Arial"/>
        </w:rPr>
        <w:t xml:space="preserve">of Nigeria </w:t>
      </w:r>
      <w:r w:rsidRPr="00225669">
        <w:rPr>
          <w:rFonts w:cs="Arial"/>
        </w:rPr>
        <w:t xml:space="preserve">to reduce unrest </w:t>
      </w:r>
      <w:r w:rsidR="00F378F3" w:rsidRPr="00225669">
        <w:rPr>
          <w:rFonts w:cs="Arial"/>
        </w:rPr>
        <w:t xml:space="preserve">and develop the </w:t>
      </w:r>
      <w:r w:rsidRPr="00225669">
        <w:rPr>
          <w:rFonts w:cs="Arial"/>
        </w:rPr>
        <w:t>Niger Delta</w:t>
      </w:r>
      <w:r w:rsidR="005B6F40" w:rsidRPr="00225669">
        <w:rPr>
          <w:rFonts w:cs="Arial"/>
        </w:rPr>
        <w:t xml:space="preserve"> region</w:t>
      </w:r>
      <w:r w:rsidRPr="00225669">
        <w:rPr>
          <w:rFonts w:cs="Arial"/>
        </w:rPr>
        <w:t xml:space="preserve">. </w:t>
      </w:r>
      <w:r w:rsidR="00700995" w:rsidRPr="00225669">
        <w:rPr>
          <w:rFonts w:cs="Arial"/>
        </w:rPr>
        <w:t>The rep</w:t>
      </w:r>
      <w:r w:rsidR="00F378F3" w:rsidRPr="00225669">
        <w:rPr>
          <w:rFonts w:cs="Arial"/>
        </w:rPr>
        <w:t>ort represents a limited scope</w:t>
      </w:r>
      <w:r w:rsidR="00700995" w:rsidRPr="00225669">
        <w:rPr>
          <w:rFonts w:cs="Arial"/>
        </w:rPr>
        <w:t xml:space="preserve"> in analysis given the time period of 15 days allotted for this assignment. It further confines analysis on available evidence and informed judgement. Much effort is made to avoid speculative analysis that cannot be substantiated with rational facts.</w:t>
      </w:r>
    </w:p>
    <w:p w14:paraId="1E677B6A" w14:textId="77777777" w:rsidR="00700995" w:rsidRPr="00225669" w:rsidRDefault="00700995" w:rsidP="00137DFE">
      <w:pPr>
        <w:jc w:val="both"/>
        <w:rPr>
          <w:rFonts w:cs="Arial"/>
        </w:rPr>
      </w:pPr>
    </w:p>
    <w:p w14:paraId="02F65FF6" w14:textId="579F3EBF" w:rsidR="007E061B" w:rsidRPr="00225669" w:rsidRDefault="007E061B" w:rsidP="00137DFE">
      <w:pPr>
        <w:jc w:val="both"/>
        <w:rPr>
          <w:rFonts w:cs="Arial"/>
        </w:rPr>
      </w:pPr>
      <w:r w:rsidRPr="00225669">
        <w:rPr>
          <w:rFonts w:cs="Arial"/>
        </w:rPr>
        <w:t xml:space="preserve">The report consists of </w:t>
      </w:r>
      <w:r w:rsidR="00E340DD">
        <w:rPr>
          <w:rFonts w:cs="Arial"/>
        </w:rPr>
        <w:t>nine</w:t>
      </w:r>
      <w:r w:rsidRPr="00225669">
        <w:rPr>
          <w:rFonts w:cs="Arial"/>
        </w:rPr>
        <w:t xml:space="preserve"> chapters and gives an analysis of the list of funds allocated t</w:t>
      </w:r>
      <w:r w:rsidR="00135EA1" w:rsidRPr="00225669">
        <w:rPr>
          <w:rFonts w:cs="Arial"/>
        </w:rPr>
        <w:t>o the Niger D</w:t>
      </w:r>
      <w:r w:rsidRPr="00225669">
        <w:rPr>
          <w:rFonts w:cs="Arial"/>
        </w:rPr>
        <w:t>el</w:t>
      </w:r>
      <w:r w:rsidR="00135EA1" w:rsidRPr="00225669">
        <w:rPr>
          <w:rFonts w:cs="Arial"/>
        </w:rPr>
        <w:t>ta region and the groups that a</w:t>
      </w:r>
      <w:r w:rsidRPr="00225669">
        <w:rPr>
          <w:rFonts w:cs="Arial"/>
        </w:rPr>
        <w:t>re beneficia</w:t>
      </w:r>
      <w:r w:rsidR="00135EA1" w:rsidRPr="00225669">
        <w:rPr>
          <w:rFonts w:cs="Arial"/>
        </w:rPr>
        <w:t>ries from these funds</w:t>
      </w:r>
      <w:r w:rsidRPr="00225669">
        <w:rPr>
          <w:rFonts w:cs="Arial"/>
        </w:rPr>
        <w:t xml:space="preserve">. The report shows that about </w:t>
      </w:r>
      <w:r w:rsidRPr="00225669">
        <w:rPr>
          <w:rFonts w:cs="Arial"/>
          <w:dstrike/>
        </w:rPr>
        <w:t>N</w:t>
      </w:r>
      <w:r w:rsidR="007E3A32" w:rsidRPr="00225669">
        <w:rPr>
          <w:rFonts w:cs="Arial"/>
        </w:rPr>
        <w:t>7.35</w:t>
      </w:r>
      <w:r w:rsidRPr="00225669">
        <w:rPr>
          <w:rFonts w:cs="Arial"/>
        </w:rPr>
        <w:t xml:space="preserve"> trillion has been channelled into the Niger Delta region through various funding mechanisms over the last five years.</w:t>
      </w:r>
    </w:p>
    <w:p w14:paraId="40CC1AA9" w14:textId="77777777" w:rsidR="003E4173" w:rsidRPr="00225669" w:rsidRDefault="003E4173" w:rsidP="00137DFE">
      <w:pPr>
        <w:jc w:val="both"/>
        <w:rPr>
          <w:rFonts w:cs="Arial"/>
        </w:rPr>
      </w:pPr>
    </w:p>
    <w:p w14:paraId="7127AB5F" w14:textId="7A1ACE67" w:rsidR="003E4173" w:rsidRPr="00225669" w:rsidRDefault="003E4173" w:rsidP="00137DFE">
      <w:pPr>
        <w:jc w:val="both"/>
        <w:rPr>
          <w:rFonts w:cs="Arial"/>
        </w:rPr>
      </w:pPr>
      <w:r w:rsidRPr="00225669">
        <w:rPr>
          <w:rFonts w:cs="Arial"/>
        </w:rPr>
        <w:t xml:space="preserve">Chapter Two provides the rationale and justification for this report and the intended purpose </w:t>
      </w:r>
      <w:r w:rsidR="00F378F3" w:rsidRPr="00225669">
        <w:rPr>
          <w:rFonts w:cs="Arial"/>
        </w:rPr>
        <w:t>for</w:t>
      </w:r>
      <w:r w:rsidRPr="00225669">
        <w:rPr>
          <w:rFonts w:cs="Arial"/>
        </w:rPr>
        <w:t xml:space="preserve"> understanding the dynamics of resource allocation in the political economy of the Niger Delta</w:t>
      </w:r>
      <w:r w:rsidR="00FC5380" w:rsidRPr="00225669">
        <w:rPr>
          <w:rFonts w:cs="Arial"/>
        </w:rPr>
        <w:t xml:space="preserve"> region</w:t>
      </w:r>
      <w:r w:rsidRPr="00225669">
        <w:rPr>
          <w:rFonts w:cs="Arial"/>
        </w:rPr>
        <w:t>.</w:t>
      </w:r>
    </w:p>
    <w:p w14:paraId="19E65486" w14:textId="77777777" w:rsidR="007E061B" w:rsidRPr="00225669" w:rsidRDefault="007E061B" w:rsidP="00137DFE">
      <w:pPr>
        <w:jc w:val="both"/>
        <w:rPr>
          <w:rFonts w:cs="Arial"/>
        </w:rPr>
      </w:pPr>
    </w:p>
    <w:p w14:paraId="0862D22B" w14:textId="77777777" w:rsidR="003C0AED" w:rsidRPr="00225669" w:rsidRDefault="007E061B" w:rsidP="00137DFE">
      <w:pPr>
        <w:jc w:val="both"/>
        <w:rPr>
          <w:rFonts w:cs="Arial"/>
        </w:rPr>
      </w:pPr>
      <w:r w:rsidRPr="00225669">
        <w:rPr>
          <w:rFonts w:cs="Arial"/>
        </w:rPr>
        <w:t xml:space="preserve">Chapter </w:t>
      </w:r>
      <w:r w:rsidR="00700995" w:rsidRPr="00225669">
        <w:rPr>
          <w:rFonts w:cs="Arial"/>
        </w:rPr>
        <w:t>Three</w:t>
      </w:r>
      <w:r w:rsidR="00700995" w:rsidRPr="00225669">
        <w:rPr>
          <w:rStyle w:val="CommentReference"/>
          <w:rFonts w:cs="Arial"/>
        </w:rPr>
        <w:t xml:space="preserve"> </w:t>
      </w:r>
      <w:r w:rsidR="00700995" w:rsidRPr="00225669">
        <w:rPr>
          <w:rFonts w:cs="Arial"/>
        </w:rPr>
        <w:t>provides</w:t>
      </w:r>
      <w:r w:rsidRPr="00225669">
        <w:rPr>
          <w:rFonts w:cs="Arial"/>
        </w:rPr>
        <w:t xml:space="preserve"> a brief </w:t>
      </w:r>
      <w:r w:rsidR="00E36CBC" w:rsidRPr="00225669">
        <w:rPr>
          <w:rFonts w:cs="Arial"/>
        </w:rPr>
        <w:t xml:space="preserve">introduction to the Niger Delta region, oil production, and </w:t>
      </w:r>
      <w:r w:rsidR="003C0AED" w:rsidRPr="00225669">
        <w:rPr>
          <w:rFonts w:cs="Arial"/>
        </w:rPr>
        <w:t>sharing of the revenue from oil sales from the colonial era through the indigenisation era to the deregulation stage. It provides an overview of the pressures for a derivation principle in revenue sharing.</w:t>
      </w:r>
    </w:p>
    <w:p w14:paraId="638CD4EC" w14:textId="77777777" w:rsidR="00EA4142" w:rsidRPr="00225669" w:rsidRDefault="00EA4142" w:rsidP="00137DFE">
      <w:pPr>
        <w:jc w:val="both"/>
        <w:rPr>
          <w:rFonts w:cs="Arial"/>
        </w:rPr>
      </w:pPr>
    </w:p>
    <w:p w14:paraId="3B831C70" w14:textId="77777777" w:rsidR="003C0AED" w:rsidRPr="00225669" w:rsidRDefault="003C0AED" w:rsidP="00137DFE">
      <w:pPr>
        <w:jc w:val="both"/>
        <w:rPr>
          <w:rFonts w:cs="Arial"/>
        </w:rPr>
      </w:pPr>
      <w:r w:rsidRPr="00225669">
        <w:rPr>
          <w:rFonts w:cs="Arial"/>
        </w:rPr>
        <w:t>Chapter Four focuses on four of the interventionist agencies set up by the Federal Government of Nigeria to drive development in the region. These agencies include the Niger Delta Development Commission, Ministry of Niger Delta Affairs, Presidential Amnesty Programme, and the Hydrocarbon Pollution Restoration Programme. It presents an argument that governance and transparency in the management of the funds is important for the development of the region and that the involvement of the community is critical to success.</w:t>
      </w:r>
    </w:p>
    <w:p w14:paraId="44712402" w14:textId="77777777" w:rsidR="003C0AED" w:rsidRPr="00225669" w:rsidRDefault="003C0AED" w:rsidP="00137DFE">
      <w:pPr>
        <w:jc w:val="both"/>
        <w:rPr>
          <w:rFonts w:cs="Arial"/>
        </w:rPr>
      </w:pPr>
    </w:p>
    <w:p w14:paraId="2CD1549A" w14:textId="28C5AE8F" w:rsidR="00EA4142" w:rsidRPr="00225669" w:rsidRDefault="00EA4142" w:rsidP="00137DFE">
      <w:pPr>
        <w:jc w:val="both"/>
        <w:rPr>
          <w:rFonts w:cs="Arial"/>
        </w:rPr>
      </w:pPr>
      <w:r w:rsidRPr="00225669">
        <w:rPr>
          <w:rFonts w:cs="Arial"/>
        </w:rPr>
        <w:t>Chapter Four examines the funds and impact of these funds</w:t>
      </w:r>
      <w:r w:rsidR="00587B2A" w:rsidRPr="00225669">
        <w:rPr>
          <w:rFonts w:cs="Arial"/>
        </w:rPr>
        <w:t xml:space="preserve"> over the last five years </w:t>
      </w:r>
      <w:r w:rsidR="00F378F3" w:rsidRPr="00225669">
        <w:rPr>
          <w:rFonts w:cs="Arial"/>
        </w:rPr>
        <w:t xml:space="preserve">(2010 – 2014) </w:t>
      </w:r>
      <w:r w:rsidR="00587B2A" w:rsidRPr="00225669">
        <w:rPr>
          <w:rFonts w:cs="Arial"/>
        </w:rPr>
        <w:t>and highlights government challenges with management of funds.</w:t>
      </w:r>
      <w:r w:rsidR="00B52AD9" w:rsidRPr="00225669">
        <w:rPr>
          <w:rFonts w:cs="Arial"/>
        </w:rPr>
        <w:t xml:space="preserve"> </w:t>
      </w:r>
      <w:r w:rsidR="00F378F3" w:rsidRPr="00225669">
        <w:rPr>
          <w:rFonts w:cs="Arial"/>
        </w:rPr>
        <w:t>For the purposes of this report, t</w:t>
      </w:r>
      <w:r w:rsidR="00D612FF" w:rsidRPr="00225669">
        <w:rPr>
          <w:rFonts w:cs="Arial"/>
        </w:rPr>
        <w:t>wo</w:t>
      </w:r>
      <w:r w:rsidR="007E3A32" w:rsidRPr="00225669">
        <w:rPr>
          <w:rFonts w:cs="Arial"/>
        </w:rPr>
        <w:t xml:space="preserve"> </w:t>
      </w:r>
      <w:r w:rsidR="00B52AD9" w:rsidRPr="00225669">
        <w:rPr>
          <w:rFonts w:cs="Arial"/>
        </w:rPr>
        <w:t xml:space="preserve">criteria </w:t>
      </w:r>
      <w:r w:rsidR="00F378F3" w:rsidRPr="00225669">
        <w:rPr>
          <w:rFonts w:cs="Arial"/>
        </w:rPr>
        <w:t>were</w:t>
      </w:r>
      <w:r w:rsidR="00B52AD9" w:rsidRPr="00225669">
        <w:rPr>
          <w:rFonts w:cs="Arial"/>
        </w:rPr>
        <w:t xml:space="preserve"> used </w:t>
      </w:r>
      <w:r w:rsidR="00F378F3" w:rsidRPr="00225669">
        <w:rPr>
          <w:rFonts w:cs="Arial"/>
        </w:rPr>
        <w:t xml:space="preserve">in selecting the </w:t>
      </w:r>
      <w:r w:rsidR="00B52AD9" w:rsidRPr="00225669">
        <w:rPr>
          <w:rFonts w:cs="Arial"/>
        </w:rPr>
        <w:t xml:space="preserve">eleven funds </w:t>
      </w:r>
      <w:r w:rsidR="00F378F3" w:rsidRPr="00225669">
        <w:rPr>
          <w:rFonts w:cs="Arial"/>
        </w:rPr>
        <w:t xml:space="preserve">that were </w:t>
      </w:r>
      <w:r w:rsidR="00B52AD9" w:rsidRPr="00225669">
        <w:rPr>
          <w:rFonts w:cs="Arial"/>
        </w:rPr>
        <w:t>analysed. These funds include the statutory allocation of 13 percent of the proceeds from crude oil sales, allocations from the Federal Budget to the Niger Delta States, allocations to Federal Ministry of Niger Delta Affairs (MNDA), Niger Delta Development Commission (NDDC), Presidential Amnesty Programme (PAP), Hydrocarbon Pollution Restoration Programme (HYPREP), Ecological Fund</w:t>
      </w:r>
      <w:r w:rsidR="007E3A32" w:rsidRPr="00225669">
        <w:rPr>
          <w:rFonts w:cs="Arial"/>
        </w:rPr>
        <w:t xml:space="preserve">, </w:t>
      </w:r>
      <w:r w:rsidR="00B52AD9" w:rsidRPr="00225669">
        <w:rPr>
          <w:rFonts w:cs="Arial"/>
        </w:rPr>
        <w:t>Pipeline Security Contracts</w:t>
      </w:r>
      <w:r w:rsidR="007E3A32" w:rsidRPr="00225669">
        <w:rPr>
          <w:rFonts w:cs="Arial"/>
        </w:rPr>
        <w:t xml:space="preserve"> </w:t>
      </w:r>
      <w:r w:rsidR="00952973" w:rsidRPr="00225669">
        <w:rPr>
          <w:rFonts w:cs="Arial"/>
        </w:rPr>
        <w:t>for the Nigerian National Petroleum Corporation,</w:t>
      </w:r>
      <w:r w:rsidR="00D612FF" w:rsidRPr="00225669">
        <w:rPr>
          <w:rFonts w:cs="Arial"/>
        </w:rPr>
        <w:t xml:space="preserve"> </w:t>
      </w:r>
      <w:r w:rsidR="00952973" w:rsidRPr="00225669">
        <w:rPr>
          <w:rFonts w:cs="Arial"/>
        </w:rPr>
        <w:t xml:space="preserve">allocations from the </w:t>
      </w:r>
      <w:r w:rsidR="00D612FF" w:rsidRPr="00225669">
        <w:rPr>
          <w:rFonts w:cs="Arial"/>
        </w:rPr>
        <w:t>M</w:t>
      </w:r>
      <w:r w:rsidR="007E3A32" w:rsidRPr="00225669">
        <w:rPr>
          <w:rFonts w:cs="Arial"/>
        </w:rPr>
        <w:t xml:space="preserve">illennium </w:t>
      </w:r>
      <w:r w:rsidR="00D612FF" w:rsidRPr="00225669">
        <w:rPr>
          <w:rFonts w:cs="Arial"/>
        </w:rPr>
        <w:t>D</w:t>
      </w:r>
      <w:r w:rsidR="007E3A32" w:rsidRPr="00225669">
        <w:rPr>
          <w:rFonts w:cs="Arial"/>
        </w:rPr>
        <w:t xml:space="preserve">evelopment </w:t>
      </w:r>
      <w:r w:rsidR="00D612FF" w:rsidRPr="00225669">
        <w:rPr>
          <w:rFonts w:cs="Arial"/>
        </w:rPr>
        <w:t>G</w:t>
      </w:r>
      <w:r w:rsidR="007E3A32" w:rsidRPr="00225669">
        <w:rPr>
          <w:rFonts w:cs="Arial"/>
        </w:rPr>
        <w:t>oals</w:t>
      </w:r>
      <w:r w:rsidR="00D612FF" w:rsidRPr="00225669">
        <w:rPr>
          <w:rFonts w:cs="Arial"/>
        </w:rPr>
        <w:t xml:space="preserve"> </w:t>
      </w:r>
      <w:r w:rsidR="007E3A32" w:rsidRPr="00225669">
        <w:rPr>
          <w:rFonts w:cs="Arial"/>
        </w:rPr>
        <w:t>(MDG</w:t>
      </w:r>
      <w:r w:rsidR="00952973" w:rsidRPr="00225669">
        <w:rPr>
          <w:rFonts w:cs="Arial"/>
        </w:rPr>
        <w:t>), contributions from the international oil companies, and support from development agencies</w:t>
      </w:r>
      <w:r w:rsidR="00B52AD9" w:rsidRPr="00225669">
        <w:rPr>
          <w:rFonts w:cs="Arial"/>
        </w:rPr>
        <w:t>.</w:t>
      </w:r>
    </w:p>
    <w:p w14:paraId="727E78E3" w14:textId="77777777" w:rsidR="007E0352" w:rsidRPr="00225669" w:rsidRDefault="007E0352" w:rsidP="00137DFE">
      <w:pPr>
        <w:jc w:val="both"/>
        <w:rPr>
          <w:rFonts w:cs="Arial"/>
        </w:rPr>
      </w:pPr>
    </w:p>
    <w:p w14:paraId="75A75CE0" w14:textId="6A6CDBCE" w:rsidR="00587B2A" w:rsidRPr="00225669" w:rsidRDefault="007E0352" w:rsidP="00137DFE">
      <w:pPr>
        <w:jc w:val="both"/>
        <w:rPr>
          <w:rFonts w:cs="Arial"/>
        </w:rPr>
      </w:pPr>
      <w:r w:rsidRPr="00225669">
        <w:rPr>
          <w:rFonts w:cs="Arial"/>
        </w:rPr>
        <w:t xml:space="preserve">Chapter Five focuses on an analysis of the funds allocated to the Niger Delta region and their impact. For the purposes of this report, eleven (11) funds were selected, analysed and reviewed using two selection criteria. The analysis shows that a sum total of </w:t>
      </w:r>
      <w:r w:rsidRPr="00225669">
        <w:rPr>
          <w:rFonts w:cs="Arial"/>
          <w:dstrike/>
        </w:rPr>
        <w:t>N</w:t>
      </w:r>
      <w:r w:rsidR="00E53EA1">
        <w:rPr>
          <w:rFonts w:cs="Arial"/>
        </w:rPr>
        <w:t>7.</w:t>
      </w:r>
      <w:r w:rsidRPr="00225669">
        <w:rPr>
          <w:rFonts w:cs="Arial"/>
        </w:rPr>
        <w:t>3</w:t>
      </w:r>
      <w:r w:rsidR="00E53EA1">
        <w:rPr>
          <w:rFonts w:cs="Arial"/>
        </w:rPr>
        <w:t>5 trillion (US$37.31</w:t>
      </w:r>
      <w:r w:rsidRPr="00225669">
        <w:rPr>
          <w:rFonts w:cs="Arial"/>
        </w:rPr>
        <w:t xml:space="preserve"> billion) was allocated to the Niger Delta region between 2010 and 2014. However, the impact of these funds is not commensurate with the development and quality of life of the people in the region. Governance challenges, and not the quantum of funds, is the principal problem affecting development of the Niger Delta region.</w:t>
      </w:r>
    </w:p>
    <w:p w14:paraId="0262DE6C" w14:textId="77777777" w:rsidR="007E0352" w:rsidRPr="00225669" w:rsidRDefault="007E0352" w:rsidP="00137DFE">
      <w:pPr>
        <w:jc w:val="both"/>
        <w:rPr>
          <w:rFonts w:cs="Arial"/>
        </w:rPr>
      </w:pPr>
    </w:p>
    <w:p w14:paraId="30A301C6" w14:textId="7EB70A2E" w:rsidR="00587B2A" w:rsidRPr="00225669" w:rsidRDefault="00587B2A" w:rsidP="00137DFE">
      <w:pPr>
        <w:jc w:val="both"/>
        <w:rPr>
          <w:rFonts w:cs="Arial"/>
        </w:rPr>
      </w:pPr>
      <w:r w:rsidRPr="00225669">
        <w:rPr>
          <w:rFonts w:cs="Arial"/>
        </w:rPr>
        <w:t xml:space="preserve">Chapter </w:t>
      </w:r>
      <w:r w:rsidR="007E0352" w:rsidRPr="00225669">
        <w:rPr>
          <w:rFonts w:cs="Arial"/>
        </w:rPr>
        <w:t>Six</w:t>
      </w:r>
      <w:r w:rsidRPr="00225669">
        <w:rPr>
          <w:rFonts w:cs="Arial"/>
        </w:rPr>
        <w:t xml:space="preserve"> examines the Presidential Amnesty Programme </w:t>
      </w:r>
      <w:r w:rsidR="00135EA1" w:rsidRPr="00225669">
        <w:rPr>
          <w:rFonts w:cs="Arial"/>
        </w:rPr>
        <w:t>(PAP)</w:t>
      </w:r>
      <w:r w:rsidRPr="00225669">
        <w:rPr>
          <w:rFonts w:cs="Arial"/>
        </w:rPr>
        <w:t xml:space="preserve"> as a case study to </w:t>
      </w:r>
      <w:r w:rsidR="007E0352" w:rsidRPr="00225669">
        <w:rPr>
          <w:rFonts w:cs="Arial"/>
        </w:rPr>
        <w:t>provide</w:t>
      </w:r>
      <w:r w:rsidRPr="00225669">
        <w:rPr>
          <w:rFonts w:cs="Arial"/>
        </w:rPr>
        <w:t xml:space="preserve"> a political economy analysis of the beneficiaries of the funds </w:t>
      </w:r>
      <w:r w:rsidR="007E0352" w:rsidRPr="00225669">
        <w:rPr>
          <w:rFonts w:cs="Arial"/>
        </w:rPr>
        <w:t>allocated to</w:t>
      </w:r>
      <w:r w:rsidRPr="00225669">
        <w:rPr>
          <w:rFonts w:cs="Arial"/>
        </w:rPr>
        <w:t xml:space="preserve"> the region. </w:t>
      </w:r>
      <w:r w:rsidR="00135EA1" w:rsidRPr="00225669">
        <w:rPr>
          <w:rFonts w:cs="Arial"/>
        </w:rPr>
        <w:t xml:space="preserve">The programme was set up by the Federal Government in 2009 to stabilise security as a precondition for socio economic development of the region. </w:t>
      </w:r>
      <w:r w:rsidR="00952973" w:rsidRPr="00225669">
        <w:rPr>
          <w:rFonts w:cs="Arial"/>
        </w:rPr>
        <w:t xml:space="preserve">The chapter </w:t>
      </w:r>
      <w:r w:rsidRPr="00225669">
        <w:rPr>
          <w:rFonts w:cs="Arial"/>
        </w:rPr>
        <w:t>presents the review of the programme, the fund</w:t>
      </w:r>
      <w:r w:rsidR="00952973" w:rsidRPr="00225669">
        <w:rPr>
          <w:rFonts w:cs="Arial"/>
        </w:rPr>
        <w:t>s</w:t>
      </w:r>
      <w:r w:rsidRPr="00225669">
        <w:rPr>
          <w:rFonts w:cs="Arial"/>
        </w:rPr>
        <w:t xml:space="preserve"> </w:t>
      </w:r>
      <w:r w:rsidR="00952973" w:rsidRPr="00225669">
        <w:rPr>
          <w:rFonts w:cs="Arial"/>
        </w:rPr>
        <w:t xml:space="preserve">allocated </w:t>
      </w:r>
      <w:r w:rsidRPr="00225669">
        <w:rPr>
          <w:rFonts w:cs="Arial"/>
        </w:rPr>
        <w:t xml:space="preserve">to the programme over the last five years and the real beneficiaries of the fund. It notes that government has allocated about </w:t>
      </w:r>
      <w:r w:rsidRPr="00225669">
        <w:rPr>
          <w:rFonts w:cs="Arial"/>
          <w:dstrike/>
        </w:rPr>
        <w:t>N</w:t>
      </w:r>
      <w:r w:rsidRPr="00225669">
        <w:rPr>
          <w:rFonts w:cs="Arial"/>
          <w:bCs/>
        </w:rPr>
        <w:t>0.2</w:t>
      </w:r>
      <w:r w:rsidR="007E3A32" w:rsidRPr="00225669">
        <w:rPr>
          <w:rFonts w:cs="Arial"/>
          <w:bCs/>
        </w:rPr>
        <w:t>7</w:t>
      </w:r>
      <w:r w:rsidRPr="00225669">
        <w:rPr>
          <w:rFonts w:cs="Arial"/>
          <w:bCs/>
        </w:rPr>
        <w:t xml:space="preserve"> trillion to the programme to train beneficiaries from the Niger Delta region.</w:t>
      </w:r>
    </w:p>
    <w:p w14:paraId="7887E144" w14:textId="77777777" w:rsidR="00587B2A" w:rsidRPr="00225669" w:rsidRDefault="00587B2A" w:rsidP="00137DFE">
      <w:pPr>
        <w:jc w:val="both"/>
        <w:rPr>
          <w:rFonts w:cs="Arial"/>
        </w:rPr>
      </w:pPr>
    </w:p>
    <w:p w14:paraId="0FD9F3D4" w14:textId="24117D2F" w:rsidR="00587B2A" w:rsidRPr="00225669" w:rsidRDefault="00587B2A" w:rsidP="00137DFE">
      <w:pPr>
        <w:jc w:val="both"/>
        <w:rPr>
          <w:rFonts w:cs="Arial"/>
        </w:rPr>
      </w:pPr>
      <w:r w:rsidRPr="00225669">
        <w:rPr>
          <w:rFonts w:cs="Arial"/>
        </w:rPr>
        <w:t xml:space="preserve">Chapter </w:t>
      </w:r>
      <w:r w:rsidR="007E0352" w:rsidRPr="00225669">
        <w:rPr>
          <w:rFonts w:cs="Arial"/>
        </w:rPr>
        <w:t xml:space="preserve">Seven presents an analysis of the critical </w:t>
      </w:r>
      <w:r w:rsidRPr="00225669">
        <w:rPr>
          <w:rFonts w:cs="Arial"/>
        </w:rPr>
        <w:t xml:space="preserve">stakeholders in the Niger Delta region and their power and interest ratings </w:t>
      </w:r>
      <w:r w:rsidR="00952973" w:rsidRPr="00225669">
        <w:rPr>
          <w:rFonts w:cs="Arial"/>
        </w:rPr>
        <w:t xml:space="preserve">with </w:t>
      </w:r>
      <w:r w:rsidRPr="00225669">
        <w:rPr>
          <w:rFonts w:cs="Arial"/>
        </w:rPr>
        <w:t>regards to security stabilisation and develo</w:t>
      </w:r>
      <w:r w:rsidR="00135EA1" w:rsidRPr="00225669">
        <w:rPr>
          <w:rFonts w:cs="Arial"/>
        </w:rPr>
        <w:t>pment of the Niger Delta.</w:t>
      </w:r>
      <w:r w:rsidR="00866D45" w:rsidRPr="00225669">
        <w:rPr>
          <w:rFonts w:cs="Arial"/>
        </w:rPr>
        <w:t xml:space="preserve"> </w:t>
      </w:r>
      <w:r w:rsidR="00C9166F" w:rsidRPr="00225669">
        <w:rPr>
          <w:rFonts w:cs="Arial"/>
        </w:rPr>
        <w:t>Fourteen (14) stakeholders are identified and analysed</w:t>
      </w:r>
      <w:r w:rsidR="00952973" w:rsidRPr="00225669">
        <w:rPr>
          <w:rFonts w:cs="Arial"/>
        </w:rPr>
        <w:t xml:space="preserve">. They </w:t>
      </w:r>
      <w:r w:rsidR="00C9166F" w:rsidRPr="00225669">
        <w:rPr>
          <w:rFonts w:cs="Arial"/>
        </w:rPr>
        <w:t>include the Presidency, NNPC/Federal Ministry of Petroleum Resources, State and Local Governments (which includes the 9 state governors, federal and state legislators and local government chairmen), Resistance and Armed Groups (ex-generals and their followers), Criminal elements (oil bunkerers, kidnappers, pirates), International Oil Companies, Political Elites, Traditional Rulers and Community Leaders, Ordinary Citizens, Other High Risk Population, Regional Development Institutions (Ministry of Niger Delta Affairs, Niger Delta Development Commission, BRACED Commission</w:t>
      </w:r>
      <w:r w:rsidR="00952973" w:rsidRPr="00225669">
        <w:rPr>
          <w:rFonts w:cs="Arial"/>
        </w:rPr>
        <w:t>)</w:t>
      </w:r>
      <w:r w:rsidR="00C9166F" w:rsidRPr="00225669">
        <w:rPr>
          <w:rFonts w:cs="Arial"/>
        </w:rPr>
        <w:t>,  International Development Partners, Civil Society Organisations</w:t>
      </w:r>
      <w:r w:rsidR="00952973" w:rsidRPr="00225669">
        <w:rPr>
          <w:rFonts w:cs="Arial"/>
        </w:rPr>
        <w:t>,</w:t>
      </w:r>
      <w:r w:rsidR="00C9166F" w:rsidRPr="00225669">
        <w:rPr>
          <w:rFonts w:cs="Arial"/>
        </w:rPr>
        <w:t xml:space="preserve"> and Security Stabilization Institutions (PAP, Joint Task Force, military and security agencies).</w:t>
      </w:r>
    </w:p>
    <w:p w14:paraId="376BC4E3" w14:textId="77777777" w:rsidR="00C9166F" w:rsidRPr="00225669" w:rsidRDefault="00C9166F" w:rsidP="00137DFE">
      <w:pPr>
        <w:jc w:val="both"/>
        <w:rPr>
          <w:rFonts w:cs="Arial"/>
        </w:rPr>
      </w:pPr>
    </w:p>
    <w:p w14:paraId="3C6D0D22" w14:textId="5D9D1CDC" w:rsidR="00C9166F" w:rsidRDefault="00C9166F" w:rsidP="00137DFE">
      <w:pPr>
        <w:jc w:val="both"/>
        <w:rPr>
          <w:rFonts w:cs="Arial"/>
        </w:rPr>
      </w:pPr>
      <w:r w:rsidRPr="00225669">
        <w:rPr>
          <w:rFonts w:cs="Arial"/>
        </w:rPr>
        <w:t xml:space="preserve">Chapter </w:t>
      </w:r>
      <w:r w:rsidR="007E0352" w:rsidRPr="00225669">
        <w:rPr>
          <w:rFonts w:cs="Arial"/>
        </w:rPr>
        <w:t>Eight</w:t>
      </w:r>
      <w:r w:rsidRPr="00225669">
        <w:rPr>
          <w:rFonts w:cs="Arial"/>
        </w:rPr>
        <w:t xml:space="preserve"> notes that governance challenges</w:t>
      </w:r>
      <w:r w:rsidR="00952973" w:rsidRPr="00225669">
        <w:rPr>
          <w:rFonts w:cs="Arial"/>
        </w:rPr>
        <w:t>,</w:t>
      </w:r>
      <w:r w:rsidRPr="00225669">
        <w:rPr>
          <w:rFonts w:cs="Arial"/>
        </w:rPr>
        <w:t xml:space="preserve"> and not the quantum of funds, is the </w:t>
      </w:r>
      <w:r w:rsidR="0001448A" w:rsidRPr="00225669">
        <w:rPr>
          <w:rFonts w:cs="Arial"/>
        </w:rPr>
        <w:t xml:space="preserve">principal problem affecting </w:t>
      </w:r>
      <w:r w:rsidRPr="00225669">
        <w:rPr>
          <w:rFonts w:cs="Arial"/>
        </w:rPr>
        <w:t>development of the Niger Delta region.</w:t>
      </w:r>
    </w:p>
    <w:p w14:paraId="13371914" w14:textId="77777777" w:rsidR="00E340DD" w:rsidRDefault="00E340DD" w:rsidP="00137DFE">
      <w:pPr>
        <w:jc w:val="both"/>
        <w:rPr>
          <w:rFonts w:cs="Arial"/>
        </w:rPr>
      </w:pPr>
    </w:p>
    <w:p w14:paraId="43C9D920" w14:textId="4FF1006C" w:rsidR="00E340DD" w:rsidRPr="00225669" w:rsidRDefault="00E340DD" w:rsidP="00137DFE">
      <w:pPr>
        <w:jc w:val="both"/>
        <w:rPr>
          <w:rFonts w:cs="Arial"/>
        </w:rPr>
      </w:pPr>
      <w:r>
        <w:rPr>
          <w:rFonts w:cs="Arial"/>
        </w:rPr>
        <w:t>Chapter Nine contains the data tables for the estimations of funds that have been allocated to the Niger Delta region from 2010 to 2014.</w:t>
      </w:r>
    </w:p>
    <w:p w14:paraId="6C54BDD3" w14:textId="77777777" w:rsidR="00E36CBC" w:rsidRPr="00225669" w:rsidRDefault="00E36CBC" w:rsidP="00137DFE">
      <w:pPr>
        <w:jc w:val="both"/>
        <w:rPr>
          <w:rFonts w:cs="Arial"/>
          <w:sz w:val="22"/>
        </w:rPr>
      </w:pPr>
    </w:p>
    <w:p w14:paraId="4332F7A9" w14:textId="77777777" w:rsidR="00E845ED" w:rsidRPr="00225669" w:rsidRDefault="00E845ED" w:rsidP="00137DFE">
      <w:pPr>
        <w:jc w:val="both"/>
        <w:rPr>
          <w:rFonts w:cs="Arial"/>
          <w:sz w:val="22"/>
        </w:rPr>
      </w:pPr>
      <w:r w:rsidRPr="00225669">
        <w:rPr>
          <w:rFonts w:cs="Arial"/>
          <w:sz w:val="22"/>
        </w:rPr>
        <w:br w:type="page"/>
      </w:r>
    </w:p>
    <w:p w14:paraId="1553E923" w14:textId="77777777" w:rsidR="00FA3599" w:rsidRPr="00225669" w:rsidRDefault="00FA3599" w:rsidP="00137DFE">
      <w:pPr>
        <w:pStyle w:val="Heading1"/>
      </w:pPr>
      <w:bookmarkStart w:id="3" w:name="_Toc306882396"/>
      <w:bookmarkStart w:id="4" w:name="_Toc232063076"/>
      <w:bookmarkStart w:id="5" w:name="_Toc232063610"/>
      <w:bookmarkStart w:id="6" w:name="_Toc232585404"/>
      <w:bookmarkStart w:id="7" w:name="_Toc311709481"/>
      <w:r w:rsidRPr="00225669">
        <w:t>Purpose of the Report</w:t>
      </w:r>
      <w:bookmarkEnd w:id="7"/>
    </w:p>
    <w:p w14:paraId="4F2395EB" w14:textId="7D905A53" w:rsidR="00D150E7" w:rsidRPr="00225669" w:rsidRDefault="00FA3599" w:rsidP="00137DFE">
      <w:pPr>
        <w:jc w:val="both"/>
        <w:rPr>
          <w:rFonts w:cs="Arial"/>
        </w:rPr>
      </w:pPr>
      <w:r w:rsidRPr="00225669">
        <w:rPr>
          <w:rFonts w:cs="Arial"/>
        </w:rPr>
        <w:t>An understanding of the political economy analysis of the funds flow into the Niger Delta region is critical in</w:t>
      </w:r>
      <w:r w:rsidR="00481C8A" w:rsidRPr="00225669">
        <w:rPr>
          <w:rFonts w:cs="Arial"/>
        </w:rPr>
        <w:t xml:space="preserve"> the development process for the region. </w:t>
      </w:r>
      <w:r w:rsidR="007B43D0" w:rsidRPr="00225669">
        <w:rPr>
          <w:rFonts w:cs="Arial"/>
        </w:rPr>
        <w:t>T</w:t>
      </w:r>
      <w:r w:rsidR="00481C8A" w:rsidRPr="00225669">
        <w:rPr>
          <w:rFonts w:cs="Arial"/>
        </w:rPr>
        <w:t xml:space="preserve">his report </w:t>
      </w:r>
      <w:r w:rsidR="00880A0F" w:rsidRPr="00225669">
        <w:rPr>
          <w:rFonts w:cs="Arial"/>
        </w:rPr>
        <w:t>presents</w:t>
      </w:r>
      <w:r w:rsidR="00481C8A" w:rsidRPr="00225669">
        <w:rPr>
          <w:rFonts w:cs="Arial"/>
        </w:rPr>
        <w:t xml:space="preserve"> an analysis of the funds allocated to the Niger </w:t>
      </w:r>
      <w:r w:rsidR="00880A0F" w:rsidRPr="00225669">
        <w:rPr>
          <w:rFonts w:cs="Arial"/>
        </w:rPr>
        <w:t>D</w:t>
      </w:r>
      <w:r w:rsidR="00481C8A" w:rsidRPr="00225669">
        <w:rPr>
          <w:rFonts w:cs="Arial"/>
        </w:rPr>
        <w:t>elta region and the</w:t>
      </w:r>
      <w:r w:rsidR="007B43D0" w:rsidRPr="00225669">
        <w:rPr>
          <w:rFonts w:cs="Arial"/>
        </w:rPr>
        <w:t xml:space="preserve"> beneficiary</w:t>
      </w:r>
      <w:r w:rsidR="00481C8A" w:rsidRPr="00225669">
        <w:rPr>
          <w:rFonts w:cs="Arial"/>
        </w:rPr>
        <w:t xml:space="preserve"> </w:t>
      </w:r>
      <w:r w:rsidR="00D150E7" w:rsidRPr="00225669">
        <w:rPr>
          <w:rFonts w:cs="Arial"/>
        </w:rPr>
        <w:t>groups</w:t>
      </w:r>
      <w:r w:rsidR="007B43D0" w:rsidRPr="00225669">
        <w:rPr>
          <w:rFonts w:cs="Arial"/>
        </w:rPr>
        <w:t xml:space="preserve"> for </w:t>
      </w:r>
      <w:r w:rsidR="00D150E7" w:rsidRPr="00225669">
        <w:rPr>
          <w:rFonts w:cs="Arial"/>
        </w:rPr>
        <w:t xml:space="preserve">each </w:t>
      </w:r>
      <w:r w:rsidR="007B43D0" w:rsidRPr="00225669">
        <w:rPr>
          <w:rFonts w:cs="Arial"/>
        </w:rPr>
        <w:t xml:space="preserve">of the </w:t>
      </w:r>
      <w:r w:rsidR="00D150E7" w:rsidRPr="00225669">
        <w:rPr>
          <w:rFonts w:cs="Arial"/>
        </w:rPr>
        <w:t>funding mechanism</w:t>
      </w:r>
      <w:r w:rsidR="007B43D0" w:rsidRPr="00225669">
        <w:rPr>
          <w:rFonts w:cs="Arial"/>
        </w:rPr>
        <w:t>s</w:t>
      </w:r>
      <w:r w:rsidR="00D150E7" w:rsidRPr="00225669">
        <w:rPr>
          <w:rFonts w:cs="Arial"/>
        </w:rPr>
        <w:t>.</w:t>
      </w:r>
    </w:p>
    <w:p w14:paraId="233B26AC" w14:textId="77777777" w:rsidR="00D150E7" w:rsidRPr="00225669" w:rsidRDefault="00D150E7" w:rsidP="00137DFE">
      <w:pPr>
        <w:jc w:val="both"/>
        <w:rPr>
          <w:rFonts w:cs="Arial"/>
        </w:rPr>
      </w:pPr>
    </w:p>
    <w:p w14:paraId="2F476735" w14:textId="5320EFFC" w:rsidR="00D150E7" w:rsidRPr="00225669" w:rsidRDefault="00910D20" w:rsidP="00137DFE">
      <w:pPr>
        <w:jc w:val="both"/>
        <w:rPr>
          <w:rFonts w:cs="Arial"/>
        </w:rPr>
      </w:pPr>
      <w:r w:rsidRPr="00225669">
        <w:rPr>
          <w:rFonts w:cs="Arial"/>
        </w:rPr>
        <w:t xml:space="preserve">The report </w:t>
      </w:r>
      <w:r w:rsidR="00B774D5" w:rsidRPr="00225669">
        <w:rPr>
          <w:rFonts w:cs="Arial"/>
        </w:rPr>
        <w:t>presents</w:t>
      </w:r>
      <w:r w:rsidR="00D150E7" w:rsidRPr="00225669">
        <w:rPr>
          <w:rFonts w:cs="Arial"/>
        </w:rPr>
        <w:t>:</w:t>
      </w:r>
    </w:p>
    <w:p w14:paraId="614F241C" w14:textId="77777777" w:rsidR="00FA3599" w:rsidRPr="00225669" w:rsidRDefault="00FA3599" w:rsidP="00137DFE">
      <w:pPr>
        <w:jc w:val="both"/>
        <w:rPr>
          <w:rFonts w:cs="Arial"/>
        </w:rPr>
      </w:pPr>
    </w:p>
    <w:p w14:paraId="25E60DD4" w14:textId="77777777" w:rsidR="007B43D0" w:rsidRPr="00225669" w:rsidRDefault="00D150E7" w:rsidP="00AF131C">
      <w:pPr>
        <w:pStyle w:val="ListParagraph"/>
        <w:numPr>
          <w:ilvl w:val="0"/>
          <w:numId w:val="14"/>
        </w:numPr>
        <w:jc w:val="both"/>
        <w:rPr>
          <w:rFonts w:cs="Arial"/>
        </w:rPr>
      </w:pPr>
      <w:r w:rsidRPr="00225669">
        <w:rPr>
          <w:rFonts w:cs="Arial"/>
        </w:rPr>
        <w:t>A</w:t>
      </w:r>
      <w:r w:rsidR="00B774D5" w:rsidRPr="00225669">
        <w:rPr>
          <w:rFonts w:cs="Arial"/>
        </w:rPr>
        <w:t xml:space="preserve">n explanation of the </w:t>
      </w:r>
      <w:r w:rsidR="007B43D0" w:rsidRPr="00225669">
        <w:rPr>
          <w:rFonts w:cs="Arial"/>
        </w:rPr>
        <w:t>selection criteria and the resulting list of funds.</w:t>
      </w:r>
    </w:p>
    <w:p w14:paraId="29DA77F6" w14:textId="5A1C91B5" w:rsidR="00D150E7" w:rsidRPr="00225669" w:rsidRDefault="00910D20" w:rsidP="00AF131C">
      <w:pPr>
        <w:pStyle w:val="ListParagraph"/>
        <w:numPr>
          <w:ilvl w:val="0"/>
          <w:numId w:val="14"/>
        </w:numPr>
        <w:jc w:val="both"/>
        <w:rPr>
          <w:rFonts w:cs="Arial"/>
        </w:rPr>
      </w:pPr>
      <w:r w:rsidRPr="00225669">
        <w:rPr>
          <w:rFonts w:cs="Arial"/>
        </w:rPr>
        <w:t>An i</w:t>
      </w:r>
      <w:r w:rsidR="00D150E7" w:rsidRPr="00225669">
        <w:rPr>
          <w:rFonts w:cs="Arial"/>
        </w:rPr>
        <w:t xml:space="preserve">dentification of the specific development purposes </w:t>
      </w:r>
      <w:r w:rsidR="007B43D0" w:rsidRPr="00225669">
        <w:rPr>
          <w:rFonts w:cs="Arial"/>
        </w:rPr>
        <w:t>for each of the funds</w:t>
      </w:r>
      <w:r w:rsidR="00B774D5" w:rsidRPr="00225669">
        <w:rPr>
          <w:rFonts w:cs="Arial"/>
        </w:rPr>
        <w:t>.</w:t>
      </w:r>
    </w:p>
    <w:p w14:paraId="3D38D968" w14:textId="5F38BF18" w:rsidR="00D150E7" w:rsidRPr="00225669" w:rsidRDefault="00D150E7" w:rsidP="00AF131C">
      <w:pPr>
        <w:pStyle w:val="ListParagraph"/>
        <w:numPr>
          <w:ilvl w:val="0"/>
          <w:numId w:val="14"/>
        </w:numPr>
        <w:jc w:val="both"/>
        <w:rPr>
          <w:rFonts w:cs="Arial"/>
        </w:rPr>
      </w:pPr>
      <w:r w:rsidRPr="00225669">
        <w:rPr>
          <w:rFonts w:cs="Arial"/>
        </w:rPr>
        <w:t>A</w:t>
      </w:r>
      <w:r w:rsidR="00B774D5" w:rsidRPr="00225669">
        <w:rPr>
          <w:rFonts w:cs="Arial"/>
        </w:rPr>
        <w:t>n a</w:t>
      </w:r>
      <w:r w:rsidRPr="00225669">
        <w:rPr>
          <w:rFonts w:cs="Arial"/>
        </w:rPr>
        <w:t>ssessment of the impact of each of the fun</w:t>
      </w:r>
      <w:r w:rsidR="007B43D0" w:rsidRPr="00225669">
        <w:rPr>
          <w:rFonts w:cs="Arial"/>
        </w:rPr>
        <w:t>ds and the extent to which the</w:t>
      </w:r>
      <w:r w:rsidRPr="00225669">
        <w:rPr>
          <w:rFonts w:cs="Arial"/>
        </w:rPr>
        <w:t xml:space="preserve"> respective development goals were </w:t>
      </w:r>
      <w:r w:rsidR="007B43D0" w:rsidRPr="00225669">
        <w:rPr>
          <w:rFonts w:cs="Arial"/>
        </w:rPr>
        <w:t>met</w:t>
      </w:r>
      <w:r w:rsidR="00B774D5" w:rsidRPr="00225669">
        <w:rPr>
          <w:rFonts w:cs="Arial"/>
        </w:rPr>
        <w:t>.</w:t>
      </w:r>
    </w:p>
    <w:p w14:paraId="48F937BB" w14:textId="02C3CAD3" w:rsidR="00D150E7" w:rsidRPr="00225669" w:rsidRDefault="00B0648E" w:rsidP="00AF131C">
      <w:pPr>
        <w:pStyle w:val="ListParagraph"/>
        <w:numPr>
          <w:ilvl w:val="0"/>
          <w:numId w:val="14"/>
        </w:numPr>
        <w:jc w:val="both"/>
        <w:rPr>
          <w:rFonts w:cs="Arial"/>
        </w:rPr>
      </w:pPr>
      <w:r w:rsidRPr="00225669">
        <w:rPr>
          <w:rFonts w:cs="Arial"/>
        </w:rPr>
        <w:t>An elaboration of the levels, mechanisms and channels of funding</w:t>
      </w:r>
      <w:r w:rsidR="00B774D5" w:rsidRPr="00225669">
        <w:rPr>
          <w:rFonts w:cs="Arial"/>
        </w:rPr>
        <w:t>.</w:t>
      </w:r>
    </w:p>
    <w:p w14:paraId="1BDBEFAE" w14:textId="2C48B301" w:rsidR="00B0648E" w:rsidRPr="00225669" w:rsidRDefault="00B0648E" w:rsidP="00AF131C">
      <w:pPr>
        <w:pStyle w:val="ListParagraph"/>
        <w:numPr>
          <w:ilvl w:val="0"/>
          <w:numId w:val="14"/>
        </w:numPr>
        <w:jc w:val="both"/>
        <w:rPr>
          <w:rFonts w:cs="Arial"/>
          <w:highlight w:val="yellow"/>
        </w:rPr>
      </w:pPr>
      <w:r w:rsidRPr="00225669">
        <w:rPr>
          <w:rFonts w:cs="Arial"/>
          <w:highlight w:val="yellow"/>
        </w:rPr>
        <w:t>An analysis of the “real” political reason for setting up these funds and an analysis of the groups that in reality benefitted from the funding</w:t>
      </w:r>
      <w:r w:rsidR="00B774D5" w:rsidRPr="00225669">
        <w:rPr>
          <w:rFonts w:cs="Arial"/>
          <w:highlight w:val="yellow"/>
        </w:rPr>
        <w:t>.</w:t>
      </w:r>
    </w:p>
    <w:p w14:paraId="5F86AB85" w14:textId="7C080999" w:rsidR="00B0648E" w:rsidRPr="00225669" w:rsidRDefault="00B0648E" w:rsidP="00AF131C">
      <w:pPr>
        <w:pStyle w:val="ListParagraph"/>
        <w:numPr>
          <w:ilvl w:val="0"/>
          <w:numId w:val="14"/>
        </w:numPr>
        <w:jc w:val="both"/>
        <w:rPr>
          <w:rFonts w:cs="Arial"/>
        </w:rPr>
      </w:pPr>
      <w:r w:rsidRPr="00225669">
        <w:rPr>
          <w:rFonts w:cs="Arial"/>
        </w:rPr>
        <w:t>Stakeholder analysis of the current actors and their incentives and motivations both for and against setting up proper programmes that can ensure lasting stability in the region</w:t>
      </w:r>
      <w:r w:rsidR="00B774D5" w:rsidRPr="00225669">
        <w:rPr>
          <w:rFonts w:cs="Arial"/>
        </w:rPr>
        <w:t>.</w:t>
      </w:r>
    </w:p>
    <w:p w14:paraId="4C6EE7D4" w14:textId="5B653A6D" w:rsidR="00B0648E" w:rsidRPr="00225669" w:rsidRDefault="00B0648E" w:rsidP="00AF131C">
      <w:pPr>
        <w:pStyle w:val="ListParagraph"/>
        <w:numPr>
          <w:ilvl w:val="0"/>
          <w:numId w:val="14"/>
        </w:numPr>
        <w:jc w:val="both"/>
        <w:rPr>
          <w:rFonts w:cs="Arial"/>
        </w:rPr>
      </w:pPr>
      <w:r w:rsidRPr="00225669">
        <w:rPr>
          <w:rFonts w:cs="Arial"/>
        </w:rPr>
        <w:t>Recommendations on better strategies for engendering and maintaining stability in the Niger Delta</w:t>
      </w:r>
      <w:r w:rsidR="00B774D5" w:rsidRPr="00225669">
        <w:rPr>
          <w:rFonts w:cs="Arial"/>
        </w:rPr>
        <w:t>.</w:t>
      </w:r>
    </w:p>
    <w:p w14:paraId="55C09A0A" w14:textId="77777777" w:rsidR="00B0648E" w:rsidRPr="00225669" w:rsidRDefault="00B0648E" w:rsidP="00137DFE">
      <w:pPr>
        <w:jc w:val="both"/>
        <w:rPr>
          <w:rFonts w:cs="Arial"/>
        </w:rPr>
      </w:pPr>
    </w:p>
    <w:p w14:paraId="58E24C4B" w14:textId="77777777" w:rsidR="00FA3599" w:rsidRPr="00225669" w:rsidRDefault="00FA3599" w:rsidP="00137DFE">
      <w:pPr>
        <w:jc w:val="both"/>
        <w:rPr>
          <w:rFonts w:cs="Arial"/>
        </w:rPr>
      </w:pPr>
    </w:p>
    <w:p w14:paraId="7C95D134" w14:textId="77777777" w:rsidR="00FA3599" w:rsidRPr="00225669" w:rsidRDefault="00FA3599" w:rsidP="00137DFE">
      <w:pPr>
        <w:jc w:val="both"/>
        <w:rPr>
          <w:rFonts w:cs="Arial"/>
        </w:rPr>
      </w:pPr>
    </w:p>
    <w:p w14:paraId="1A87B0AD" w14:textId="77777777" w:rsidR="00FA3599" w:rsidRPr="00225669" w:rsidRDefault="00FA3599" w:rsidP="00137DFE">
      <w:pPr>
        <w:jc w:val="both"/>
        <w:rPr>
          <w:rFonts w:cs="Arial"/>
        </w:rPr>
      </w:pPr>
      <w:r w:rsidRPr="00225669">
        <w:rPr>
          <w:rFonts w:cs="Arial"/>
        </w:rPr>
        <w:br w:type="page"/>
      </w:r>
    </w:p>
    <w:p w14:paraId="6291AF31" w14:textId="188134FB" w:rsidR="00226022" w:rsidRPr="00225669" w:rsidRDefault="0043019D" w:rsidP="00137DFE">
      <w:pPr>
        <w:pStyle w:val="Heading1"/>
      </w:pPr>
      <w:bookmarkStart w:id="8" w:name="_Toc311709482"/>
      <w:bookmarkEnd w:id="3"/>
      <w:r w:rsidRPr="00225669">
        <w:t>The Niger Delta</w:t>
      </w:r>
      <w:r w:rsidR="00B774D5" w:rsidRPr="00225669">
        <w:t xml:space="preserve"> Region: A Primer</w:t>
      </w:r>
      <w:bookmarkEnd w:id="8"/>
    </w:p>
    <w:p w14:paraId="09FADC8C" w14:textId="20BFFB8A" w:rsidR="00226022" w:rsidRPr="00225669" w:rsidRDefault="00911378" w:rsidP="00137DFE">
      <w:pPr>
        <w:pStyle w:val="Summary"/>
      </w:pPr>
      <w:r w:rsidRPr="00225669">
        <w:t xml:space="preserve">Despite being the wealth belt of Nigeria, and the vast amounts of financial resources allocated to the region, the Niger Delta region still has relatively </w:t>
      </w:r>
      <w:r w:rsidR="00B774D5" w:rsidRPr="00225669">
        <w:t xml:space="preserve">poor </w:t>
      </w:r>
      <w:r w:rsidR="00282643" w:rsidRPr="00225669">
        <w:t xml:space="preserve">development </w:t>
      </w:r>
      <w:r w:rsidR="00B774D5" w:rsidRPr="00225669">
        <w:t>outcomes</w:t>
      </w:r>
      <w:r w:rsidR="00282643" w:rsidRPr="00225669">
        <w:t xml:space="preserve">. </w:t>
      </w:r>
      <w:r w:rsidRPr="00225669">
        <w:t>I</w:t>
      </w:r>
      <w:r w:rsidR="00C45D08" w:rsidRPr="00225669">
        <w:t>n the last five years</w:t>
      </w:r>
      <w:r w:rsidRPr="00225669">
        <w:t xml:space="preserve"> (2010-2014)</w:t>
      </w:r>
      <w:r w:rsidR="00C45D08" w:rsidRPr="00225669">
        <w:t xml:space="preserve">, government has channelled about </w:t>
      </w:r>
      <w:r w:rsidR="00C45D08" w:rsidRPr="00225669">
        <w:rPr>
          <w:b/>
          <w:dstrike/>
        </w:rPr>
        <w:t>N</w:t>
      </w:r>
      <w:r w:rsidR="005D0747" w:rsidRPr="00225669">
        <w:rPr>
          <w:b/>
        </w:rPr>
        <w:t>7.3</w:t>
      </w:r>
      <w:r w:rsidR="00866D45" w:rsidRPr="00225669">
        <w:rPr>
          <w:b/>
        </w:rPr>
        <w:t>5</w:t>
      </w:r>
      <w:r w:rsidR="00C45D08" w:rsidRPr="00225669">
        <w:rPr>
          <w:b/>
        </w:rPr>
        <w:t xml:space="preserve"> trillion (</w:t>
      </w:r>
      <w:r w:rsidR="005D0747" w:rsidRPr="00225669">
        <w:rPr>
          <w:b/>
        </w:rPr>
        <w:t>US$3</w:t>
      </w:r>
      <w:r w:rsidR="00D05749" w:rsidRPr="00225669">
        <w:rPr>
          <w:b/>
        </w:rPr>
        <w:t>7</w:t>
      </w:r>
      <w:r w:rsidR="005D0747" w:rsidRPr="00225669">
        <w:rPr>
          <w:b/>
        </w:rPr>
        <w:t>.</w:t>
      </w:r>
      <w:r w:rsidR="00D05749" w:rsidRPr="00225669">
        <w:rPr>
          <w:b/>
        </w:rPr>
        <w:t>31</w:t>
      </w:r>
      <w:r w:rsidR="00C45D08" w:rsidRPr="00225669">
        <w:rPr>
          <w:b/>
        </w:rPr>
        <w:t xml:space="preserve"> billion)</w:t>
      </w:r>
      <w:r w:rsidRPr="00225669">
        <w:t xml:space="preserve"> to the region</w:t>
      </w:r>
      <w:r w:rsidR="00282643" w:rsidRPr="00225669">
        <w:t xml:space="preserve">; yet, there is no significant improvement in the quality of life. This perceived neglect of the region by the government has resulted in sustained but sporadic low intensity armed conflict for </w:t>
      </w:r>
      <w:r w:rsidR="003B0A91" w:rsidRPr="00225669">
        <w:t xml:space="preserve">decades. </w:t>
      </w:r>
      <w:r w:rsidR="00C45D08" w:rsidRPr="00225669">
        <w:t>This chapter presents an introduction to the Niger Delta region</w:t>
      </w:r>
      <w:r w:rsidR="00B774D5" w:rsidRPr="00225669">
        <w:t>.</w:t>
      </w:r>
    </w:p>
    <w:p w14:paraId="385514EA" w14:textId="77777777" w:rsidR="00B774D5" w:rsidRPr="00225669" w:rsidRDefault="00B774D5" w:rsidP="00137DFE">
      <w:pPr>
        <w:pStyle w:val="Summary"/>
      </w:pPr>
    </w:p>
    <w:p w14:paraId="77EB8FFE" w14:textId="77777777" w:rsidR="00226022" w:rsidRPr="00225669" w:rsidRDefault="00226022" w:rsidP="00137DFE">
      <w:pPr>
        <w:pStyle w:val="Heading2"/>
        <w:rPr>
          <w:rFonts w:ascii="Arial" w:hAnsi="Arial" w:cs="Arial"/>
        </w:rPr>
      </w:pPr>
      <w:bookmarkStart w:id="9" w:name="_Toc306882397"/>
      <w:bookmarkStart w:id="10" w:name="_Toc311709483"/>
      <w:r w:rsidRPr="00225669">
        <w:rPr>
          <w:rFonts w:ascii="Arial" w:hAnsi="Arial" w:cs="Arial"/>
        </w:rPr>
        <w:t>Introduction</w:t>
      </w:r>
      <w:bookmarkEnd w:id="9"/>
      <w:bookmarkEnd w:id="10"/>
    </w:p>
    <w:p w14:paraId="50F7237C" w14:textId="29602E44" w:rsidR="00134233" w:rsidRPr="00E53EA1" w:rsidRDefault="0039678B" w:rsidP="00E53EA1">
      <w:pPr>
        <w:pStyle w:val="Highlight"/>
      </w:pPr>
      <w:r w:rsidRPr="00E53EA1">
        <w:t xml:space="preserve">Nigeria’s oil-rich Niger Delta is situated in the south of </w:t>
      </w:r>
      <w:r w:rsidR="00E97E0F" w:rsidRPr="00E53EA1">
        <w:t>Nigeria on</w:t>
      </w:r>
      <w:r w:rsidRPr="00E53EA1">
        <w:t xml:space="preserve"> the delta of the Niger River. It consists of nine oil-producing states</w:t>
      </w:r>
      <w:r w:rsidRPr="00E53EA1">
        <w:rPr>
          <w:sz w:val="22"/>
          <w:vertAlign w:val="superscript"/>
        </w:rPr>
        <w:footnoteReference w:id="1"/>
      </w:r>
      <w:r w:rsidRPr="00E53EA1">
        <w:t xml:space="preserve"> in the south-south and south-eastern geo-political zones of the country covering an estimated area of 112,000 square km with a population of about 32 million</w:t>
      </w:r>
      <w:r w:rsidR="0043019D" w:rsidRPr="00E53EA1">
        <w:t xml:space="preserve"> representing over one-fifth of the total national population of Nigeria</w:t>
      </w:r>
      <w:r w:rsidRPr="00E53EA1">
        <w:t>.</w:t>
      </w:r>
      <w:r w:rsidR="00134233" w:rsidRPr="00E53EA1">
        <w:t xml:space="preserve"> The bulk of this population lives in rural fishing and farming communities. However, with the discovery of oil and the social and environmental changes that have accompanied it, particularly the dearth of arable land and pollution of fishing waters, farming and fishing have substantially declined. At the same time, marked increase in illegal activities associated with crude oil has been recorded, particularly oil theft and illegal artisanal refining. </w:t>
      </w:r>
    </w:p>
    <w:p w14:paraId="3419334D" w14:textId="77777777" w:rsidR="0039678B" w:rsidRPr="00225669" w:rsidRDefault="0039678B" w:rsidP="00E53EA1">
      <w:pPr>
        <w:pStyle w:val="Highlight"/>
      </w:pPr>
    </w:p>
    <w:p w14:paraId="1D24ED89" w14:textId="74304443" w:rsidR="001724EB" w:rsidRPr="00225669" w:rsidRDefault="0039678B" w:rsidP="00E53EA1">
      <w:pPr>
        <w:pStyle w:val="Highlight"/>
      </w:pPr>
      <w:r w:rsidRPr="00225669">
        <w:rPr>
          <w:b/>
          <w:color w:val="31849B" w:themeColor="accent5" w:themeShade="BF"/>
        </w:rPr>
        <w:t>The N</w:t>
      </w:r>
      <w:r w:rsidR="008E73AF" w:rsidRPr="00225669">
        <w:rPr>
          <w:b/>
          <w:color w:val="31849B" w:themeColor="accent5" w:themeShade="BF"/>
        </w:rPr>
        <w:t xml:space="preserve">iger Delta has the second highest proven crude oil reserves in </w:t>
      </w:r>
      <w:r w:rsidR="00D05749" w:rsidRPr="00225669">
        <w:rPr>
          <w:b/>
          <w:color w:val="31849B" w:themeColor="accent5" w:themeShade="BF"/>
        </w:rPr>
        <w:t>Africa</w:t>
      </w:r>
      <w:r w:rsidR="00D05749" w:rsidRPr="00225669">
        <w:rPr>
          <w:color w:val="31849B" w:themeColor="accent5" w:themeShade="BF"/>
        </w:rPr>
        <w:t>.</w:t>
      </w:r>
      <w:r w:rsidR="00D05749" w:rsidRPr="00225669">
        <w:t xml:space="preserve"> The</w:t>
      </w:r>
      <w:r w:rsidR="00226022" w:rsidRPr="00225669">
        <w:t xml:space="preserve"> Niger D</w:t>
      </w:r>
      <w:r w:rsidR="008E73AF" w:rsidRPr="00225669">
        <w:t>elta is one of the world’s ten</w:t>
      </w:r>
      <w:r w:rsidR="00226022" w:rsidRPr="00225669">
        <w:t xml:space="preserve"> most important wetlands and coastal marine ecosystems. It has vast oil and gas deposits </w:t>
      </w:r>
      <w:r w:rsidR="004B2A2C" w:rsidRPr="00225669">
        <w:t>that account</w:t>
      </w:r>
      <w:r w:rsidR="00226022" w:rsidRPr="00225669">
        <w:t xml:space="preserve"> f</w:t>
      </w:r>
      <w:r w:rsidR="001724EB" w:rsidRPr="00225669">
        <w:t>or 90 percent of</w:t>
      </w:r>
      <w:r w:rsidR="00226022" w:rsidRPr="00225669">
        <w:t xml:space="preserve"> Nigeria’s export earnings and 80 percent of its public revenues. </w:t>
      </w:r>
      <w:r w:rsidR="001724EB" w:rsidRPr="00225669">
        <w:t>It has an estimated 36 billion barrels of oil making it home to one of Africa’s highest proven crude oil reserves</w:t>
      </w:r>
      <w:r w:rsidR="0043019D" w:rsidRPr="00225669">
        <w:t xml:space="preserve"> with an estimated reserve life of 41 years</w:t>
      </w:r>
      <w:r w:rsidR="001724EB" w:rsidRPr="00225669">
        <w:t>.</w:t>
      </w:r>
      <w:r w:rsidR="001724EB" w:rsidRPr="00225669">
        <w:rPr>
          <w:rStyle w:val="FootnoteReference"/>
        </w:rPr>
        <w:footnoteReference w:id="2"/>
      </w:r>
      <w:r w:rsidR="00DA2AB5" w:rsidRPr="00225669">
        <w:t xml:space="preserve">  </w:t>
      </w:r>
      <w:r w:rsidR="0043019D" w:rsidRPr="00225669">
        <w:t xml:space="preserve">At the same time, </w:t>
      </w:r>
      <w:r w:rsidR="00CD7A77" w:rsidRPr="00225669">
        <w:t xml:space="preserve">a </w:t>
      </w:r>
      <w:r w:rsidR="0043019D" w:rsidRPr="00225669">
        <w:t>noticeable increase in illegal activities associated with crude oil has been recorded, particularly oil theft and bunkering</w:t>
      </w:r>
      <w:r w:rsidR="00AB0D3C" w:rsidRPr="00225669">
        <w:t xml:space="preserve">. </w:t>
      </w:r>
      <w:r w:rsidR="005E1BEA" w:rsidRPr="00225669">
        <w:t xml:space="preserve">It is estimated that Nigeria losses about </w:t>
      </w:r>
      <w:r w:rsidR="00E97E0F" w:rsidRPr="00225669">
        <w:t>250,000</w:t>
      </w:r>
      <w:r w:rsidR="00E97E0F" w:rsidRPr="00225669">
        <w:rPr>
          <w:rStyle w:val="FootnoteReference"/>
        </w:rPr>
        <w:footnoteReference w:id="3"/>
      </w:r>
      <w:r w:rsidR="00E97E0F" w:rsidRPr="00225669">
        <w:t xml:space="preserve"> barrels to </w:t>
      </w:r>
      <w:r w:rsidR="00AB0D3C" w:rsidRPr="00225669">
        <w:t>400,000</w:t>
      </w:r>
      <w:r w:rsidR="006A4E4B" w:rsidRPr="00225669">
        <w:rPr>
          <w:rStyle w:val="FootnoteReference"/>
        </w:rPr>
        <w:footnoteReference w:id="4"/>
      </w:r>
      <w:r w:rsidR="00AB0D3C" w:rsidRPr="00225669">
        <w:t xml:space="preserve"> barrels daily to oil theft</w:t>
      </w:r>
      <w:r w:rsidR="005E1BEA" w:rsidRPr="00225669">
        <w:t>,</w:t>
      </w:r>
      <w:r w:rsidR="00AB0D3C" w:rsidRPr="00225669">
        <w:t xml:space="preserve"> and as much as US$13.7 billion </w:t>
      </w:r>
      <w:r w:rsidR="005E1BEA" w:rsidRPr="00225669">
        <w:t xml:space="preserve">was lost </w:t>
      </w:r>
      <w:r w:rsidR="006A4E4B" w:rsidRPr="00225669">
        <w:t>in four years (2009-2012).</w:t>
      </w:r>
      <w:r w:rsidR="006A4E4B" w:rsidRPr="00225669">
        <w:rPr>
          <w:rStyle w:val="FootnoteReference"/>
        </w:rPr>
        <w:footnoteReference w:id="5"/>
      </w:r>
    </w:p>
    <w:p w14:paraId="2CB96555" w14:textId="77777777" w:rsidR="001724EB" w:rsidRPr="00225669" w:rsidRDefault="001724EB" w:rsidP="00137DFE">
      <w:pPr>
        <w:widowControl w:val="0"/>
        <w:autoSpaceDE w:val="0"/>
        <w:autoSpaceDN w:val="0"/>
        <w:adjustRightInd w:val="0"/>
        <w:jc w:val="both"/>
        <w:rPr>
          <w:rFonts w:cs="Arial"/>
        </w:rPr>
      </w:pPr>
    </w:p>
    <w:p w14:paraId="5F712912" w14:textId="77777777" w:rsidR="001724EB" w:rsidRPr="00225669" w:rsidRDefault="00CC7A51" w:rsidP="00137DFE">
      <w:pPr>
        <w:widowControl w:val="0"/>
        <w:autoSpaceDE w:val="0"/>
        <w:autoSpaceDN w:val="0"/>
        <w:adjustRightInd w:val="0"/>
        <w:jc w:val="both"/>
        <w:rPr>
          <w:rFonts w:cs="Arial"/>
        </w:rPr>
      </w:pPr>
      <w:r w:rsidRPr="00225669">
        <w:rPr>
          <w:rFonts w:cs="Arial"/>
          <w:b/>
          <w:color w:val="31849B" w:themeColor="accent5" w:themeShade="BF"/>
        </w:rPr>
        <w:t>Perceptions of neglect and exclusion are major drivers of conflict and insecurity in the Niger Delta region</w:t>
      </w:r>
      <w:r w:rsidRPr="00225669">
        <w:rPr>
          <w:rFonts w:cs="Arial"/>
        </w:rPr>
        <w:t>.</w:t>
      </w:r>
      <w:r w:rsidRPr="00225669">
        <w:rPr>
          <w:rStyle w:val="FootnoteReference"/>
          <w:rFonts w:cs="Arial"/>
        </w:rPr>
        <w:footnoteReference w:id="6"/>
      </w:r>
      <w:r w:rsidRPr="00225669">
        <w:rPr>
          <w:rFonts w:cs="Arial"/>
        </w:rPr>
        <w:t xml:space="preserve"> For decades, the region was embroiled in a low-intensity conflict between the communities, oil companies, and the government. The root causes of the conflict included expressed concerns about exploitation, environmental degradation, underdevelopment, poverty, marginalisation, and the perceived insensitivity of the government.</w:t>
      </w:r>
      <w:r w:rsidRPr="00225669">
        <w:rPr>
          <w:rFonts w:cs="Arial"/>
          <w:vertAlign w:val="superscript"/>
        </w:rPr>
        <w:footnoteReference w:id="7"/>
      </w:r>
      <w:r w:rsidRPr="00225669">
        <w:rPr>
          <w:rFonts w:cs="Arial"/>
        </w:rPr>
        <w:t>. Hence, youths in the Niger Delta region resorted to violence to secure government’s commitment to their development needs</w:t>
      </w:r>
      <w:r w:rsidR="007E1272" w:rsidRPr="00225669">
        <w:rPr>
          <w:rFonts w:cs="Arial"/>
        </w:rPr>
        <w:t>.</w:t>
      </w:r>
    </w:p>
    <w:p w14:paraId="184EEF91" w14:textId="77777777" w:rsidR="00EF41C5" w:rsidRPr="00225669" w:rsidRDefault="00EF41C5" w:rsidP="00137DFE">
      <w:pPr>
        <w:widowControl w:val="0"/>
        <w:autoSpaceDE w:val="0"/>
        <w:autoSpaceDN w:val="0"/>
        <w:adjustRightInd w:val="0"/>
        <w:jc w:val="both"/>
        <w:rPr>
          <w:rFonts w:cs="Arial"/>
        </w:rPr>
      </w:pPr>
    </w:p>
    <w:p w14:paraId="27495C81" w14:textId="54DFB6CF" w:rsidR="00EF41C5" w:rsidRPr="00225669" w:rsidRDefault="00EF41C5" w:rsidP="00137DFE">
      <w:pPr>
        <w:widowControl w:val="0"/>
        <w:autoSpaceDE w:val="0"/>
        <w:autoSpaceDN w:val="0"/>
        <w:adjustRightInd w:val="0"/>
        <w:jc w:val="both"/>
        <w:rPr>
          <w:rFonts w:cs="Arial"/>
        </w:rPr>
      </w:pPr>
      <w:r w:rsidRPr="00225669">
        <w:rPr>
          <w:rFonts w:cs="Arial"/>
          <w:b/>
          <w:color w:val="31849B" w:themeColor="accent5" w:themeShade="BF"/>
        </w:rPr>
        <w:t>Previous governments have implemented various interventions.</w:t>
      </w:r>
      <w:r w:rsidRPr="00225669">
        <w:rPr>
          <w:rFonts w:cs="Arial"/>
        </w:rPr>
        <w:t xml:space="preserve"> Most of these interventions have resulted in limited success because they were characterised by the lack of an integrated development framework, poor project management and implementation, inadequate funding, weak coordination and corruption. Some of these interventions were initiated through such agencies as the </w:t>
      </w:r>
      <w:r w:rsidRPr="00225669">
        <w:rPr>
          <w:rFonts w:cs="Arial"/>
          <w:i/>
        </w:rPr>
        <w:t>Niger Delta Development Board</w:t>
      </w:r>
      <w:r w:rsidRPr="00225669">
        <w:rPr>
          <w:rFonts w:cs="Arial"/>
        </w:rPr>
        <w:t xml:space="preserve"> (1960), </w:t>
      </w:r>
      <w:r w:rsidRPr="00225669">
        <w:rPr>
          <w:rFonts w:cs="Arial"/>
          <w:i/>
        </w:rPr>
        <w:t>Niger Delta River Basin Development Authority</w:t>
      </w:r>
      <w:r w:rsidRPr="00225669">
        <w:rPr>
          <w:rFonts w:cs="Arial"/>
        </w:rPr>
        <w:t xml:space="preserve"> (1976), </w:t>
      </w:r>
      <w:r w:rsidRPr="00225669">
        <w:rPr>
          <w:rFonts w:cs="Arial"/>
          <w:i/>
        </w:rPr>
        <w:t>Special Fund for Oil Producing Areas by Revenue Act</w:t>
      </w:r>
      <w:r w:rsidRPr="00225669">
        <w:rPr>
          <w:rFonts w:cs="Arial"/>
        </w:rPr>
        <w:t xml:space="preserve"> (1981), </w:t>
      </w:r>
      <w:r w:rsidRPr="00225669">
        <w:rPr>
          <w:rFonts w:cs="Arial"/>
          <w:i/>
        </w:rPr>
        <w:t>Presidential Taskforce for the Development of Oil Producing Areas</w:t>
      </w:r>
      <w:r w:rsidRPr="00225669">
        <w:rPr>
          <w:rFonts w:cs="Arial"/>
        </w:rPr>
        <w:t xml:space="preserve"> (1989), </w:t>
      </w:r>
      <w:r w:rsidRPr="00225669">
        <w:rPr>
          <w:rFonts w:cs="Arial"/>
          <w:i/>
        </w:rPr>
        <w:t>Oil Mineral Producing Areas Development Commission</w:t>
      </w:r>
      <w:r w:rsidRPr="00225669">
        <w:rPr>
          <w:rFonts w:cs="Arial"/>
        </w:rPr>
        <w:t xml:space="preserve"> (1992), </w:t>
      </w:r>
      <w:r w:rsidRPr="00225669">
        <w:rPr>
          <w:rFonts w:cs="Arial"/>
          <w:i/>
        </w:rPr>
        <w:t>Niger Delta Development Commission</w:t>
      </w:r>
      <w:r w:rsidRPr="00225669">
        <w:rPr>
          <w:rFonts w:cs="Arial"/>
        </w:rPr>
        <w:t xml:space="preserve"> (2000), </w:t>
      </w:r>
      <w:r w:rsidRPr="00225669">
        <w:rPr>
          <w:rFonts w:cs="Arial"/>
          <w:i/>
        </w:rPr>
        <w:t xml:space="preserve">Ministry of Niger Delta Affairs </w:t>
      </w:r>
      <w:r w:rsidRPr="00225669">
        <w:rPr>
          <w:rFonts w:cs="Arial"/>
        </w:rPr>
        <w:t xml:space="preserve">(2008), and </w:t>
      </w:r>
      <w:r w:rsidRPr="00225669">
        <w:rPr>
          <w:rFonts w:cs="Arial"/>
          <w:i/>
        </w:rPr>
        <w:t xml:space="preserve">Presidential Amnesty Programme </w:t>
      </w:r>
      <w:r w:rsidRPr="00225669">
        <w:rPr>
          <w:rFonts w:cs="Arial"/>
        </w:rPr>
        <w:t>(2009).</w:t>
      </w:r>
    </w:p>
    <w:p w14:paraId="10755360" w14:textId="77777777" w:rsidR="00EF41C5" w:rsidRPr="00225669" w:rsidRDefault="00EF41C5" w:rsidP="00137DFE">
      <w:pPr>
        <w:widowControl w:val="0"/>
        <w:autoSpaceDE w:val="0"/>
        <w:autoSpaceDN w:val="0"/>
        <w:adjustRightInd w:val="0"/>
        <w:jc w:val="both"/>
        <w:rPr>
          <w:rFonts w:cs="Arial"/>
        </w:rPr>
      </w:pPr>
    </w:p>
    <w:p w14:paraId="5381870F" w14:textId="7E2CF926" w:rsidR="00CC7A51" w:rsidRPr="00225669" w:rsidRDefault="00EF41C5" w:rsidP="00137DFE">
      <w:pPr>
        <w:widowControl w:val="0"/>
        <w:autoSpaceDE w:val="0"/>
        <w:autoSpaceDN w:val="0"/>
        <w:adjustRightInd w:val="0"/>
        <w:jc w:val="both"/>
        <w:rPr>
          <w:rFonts w:cs="Arial"/>
          <w:i/>
        </w:rPr>
      </w:pPr>
      <w:r w:rsidRPr="00225669">
        <w:rPr>
          <w:rFonts w:cs="Arial"/>
          <w:b/>
          <w:color w:val="31849B" w:themeColor="accent5" w:themeShade="BF"/>
        </w:rPr>
        <w:t xml:space="preserve">Between 2010 and 2015, </w:t>
      </w:r>
      <w:r w:rsidR="002A4394" w:rsidRPr="00225669">
        <w:rPr>
          <w:rFonts w:cs="Arial"/>
          <w:b/>
          <w:color w:val="31849B" w:themeColor="accent5" w:themeShade="BF"/>
        </w:rPr>
        <w:t>Federal G</w:t>
      </w:r>
      <w:r w:rsidR="00CC7A51" w:rsidRPr="00225669">
        <w:rPr>
          <w:rFonts w:cs="Arial"/>
          <w:b/>
          <w:color w:val="31849B" w:themeColor="accent5" w:themeShade="BF"/>
        </w:rPr>
        <w:t xml:space="preserve">overnment of Nigeria channelled over </w:t>
      </w:r>
      <w:r w:rsidR="00CC7A51" w:rsidRPr="00225669">
        <w:rPr>
          <w:rFonts w:cs="Arial"/>
          <w:b/>
          <w:dstrike/>
          <w:color w:val="31849B" w:themeColor="accent5" w:themeShade="BF"/>
        </w:rPr>
        <w:t>N</w:t>
      </w:r>
      <w:r w:rsidR="005D0747" w:rsidRPr="00225669">
        <w:rPr>
          <w:rFonts w:cs="Arial"/>
          <w:b/>
          <w:color w:val="31849B" w:themeColor="accent5" w:themeShade="BF"/>
        </w:rPr>
        <w:t>7</w:t>
      </w:r>
      <w:r w:rsidR="00E97E0F" w:rsidRPr="00225669">
        <w:rPr>
          <w:rFonts w:cs="Arial"/>
          <w:b/>
          <w:color w:val="31849B" w:themeColor="accent5" w:themeShade="BF"/>
        </w:rPr>
        <w:t>.</w:t>
      </w:r>
      <w:r w:rsidR="005D0747" w:rsidRPr="00225669">
        <w:rPr>
          <w:rFonts w:cs="Arial"/>
          <w:b/>
          <w:color w:val="31849B" w:themeColor="accent5" w:themeShade="BF"/>
        </w:rPr>
        <w:t>3</w:t>
      </w:r>
      <w:r w:rsidR="00E97E0F" w:rsidRPr="00225669">
        <w:rPr>
          <w:rFonts w:cs="Arial"/>
          <w:b/>
          <w:color w:val="31849B" w:themeColor="accent5" w:themeShade="BF"/>
        </w:rPr>
        <w:t>5</w:t>
      </w:r>
      <w:r w:rsidR="00C45D08" w:rsidRPr="00225669">
        <w:rPr>
          <w:rFonts w:cs="Arial"/>
          <w:b/>
          <w:color w:val="31849B" w:themeColor="accent5" w:themeShade="BF"/>
        </w:rPr>
        <w:t xml:space="preserve"> trillion (</w:t>
      </w:r>
      <w:r w:rsidR="005D0747" w:rsidRPr="00225669">
        <w:rPr>
          <w:rFonts w:cs="Arial"/>
          <w:b/>
          <w:color w:val="31849B" w:themeColor="accent5" w:themeShade="BF"/>
        </w:rPr>
        <w:t>US$3</w:t>
      </w:r>
      <w:r w:rsidR="00E97E0F" w:rsidRPr="00225669">
        <w:rPr>
          <w:rFonts w:cs="Arial"/>
          <w:b/>
          <w:color w:val="31849B" w:themeColor="accent5" w:themeShade="BF"/>
        </w:rPr>
        <w:t>7</w:t>
      </w:r>
      <w:r w:rsidR="005D0747" w:rsidRPr="00225669">
        <w:rPr>
          <w:rFonts w:cs="Arial"/>
          <w:b/>
          <w:color w:val="31849B" w:themeColor="accent5" w:themeShade="BF"/>
        </w:rPr>
        <w:t>.</w:t>
      </w:r>
      <w:r w:rsidR="00E97E0F" w:rsidRPr="00225669">
        <w:rPr>
          <w:rFonts w:cs="Arial"/>
          <w:b/>
          <w:color w:val="31849B" w:themeColor="accent5" w:themeShade="BF"/>
        </w:rPr>
        <w:t>31</w:t>
      </w:r>
      <w:r w:rsidR="00CC7A51" w:rsidRPr="00225669">
        <w:rPr>
          <w:rFonts w:cs="Arial"/>
          <w:b/>
          <w:color w:val="31849B" w:themeColor="accent5" w:themeShade="BF"/>
        </w:rPr>
        <w:t xml:space="preserve"> billion) into the Niger Delta region</w:t>
      </w:r>
      <w:r w:rsidR="00CC7A51" w:rsidRPr="00225669">
        <w:rPr>
          <w:rFonts w:cs="Arial"/>
          <w:color w:val="31849B" w:themeColor="accent5" w:themeShade="BF"/>
        </w:rPr>
        <w:t>.</w:t>
      </w:r>
      <w:r w:rsidR="00CC7A51" w:rsidRPr="00225669">
        <w:rPr>
          <w:rStyle w:val="FootnoteReference"/>
          <w:rFonts w:cs="Arial"/>
        </w:rPr>
        <w:footnoteReference w:id="8"/>
      </w:r>
      <w:r w:rsidRPr="00225669">
        <w:rPr>
          <w:rFonts w:cs="Arial"/>
          <w:color w:val="31849B" w:themeColor="accent5" w:themeShade="BF"/>
        </w:rPr>
        <w:t xml:space="preserve"> </w:t>
      </w:r>
      <w:r w:rsidR="008761E0" w:rsidRPr="00225669">
        <w:rPr>
          <w:rFonts w:cs="Arial"/>
        </w:rPr>
        <w:t>T</w:t>
      </w:r>
      <w:r w:rsidRPr="00225669">
        <w:rPr>
          <w:rFonts w:cs="Arial"/>
        </w:rPr>
        <w:t xml:space="preserve">he various </w:t>
      </w:r>
      <w:r w:rsidR="002A4394" w:rsidRPr="00225669">
        <w:rPr>
          <w:rFonts w:cs="Arial"/>
        </w:rPr>
        <w:t>sources</w:t>
      </w:r>
      <w:r w:rsidRPr="00225669">
        <w:rPr>
          <w:rFonts w:cs="Arial"/>
        </w:rPr>
        <w:t xml:space="preserve"> of </w:t>
      </w:r>
      <w:r w:rsidR="002A4394" w:rsidRPr="00225669">
        <w:rPr>
          <w:rFonts w:cs="Arial"/>
        </w:rPr>
        <w:t xml:space="preserve">funds </w:t>
      </w:r>
      <w:r w:rsidRPr="00225669">
        <w:rPr>
          <w:rFonts w:cs="Arial"/>
        </w:rPr>
        <w:t xml:space="preserve">including </w:t>
      </w:r>
      <w:r w:rsidR="00781CE4" w:rsidRPr="00225669">
        <w:rPr>
          <w:rFonts w:cs="Arial"/>
        </w:rPr>
        <w:t>statutory allocation of 13 percent of the proceeds from crude oil sales, allocations from the Federal Budget to the Niger Delta States, allocations to Federal Ministry of Niger Delta Affairs (MNDA), Niger Delta Development Commission (NDDC), Presidential Amnesty Programme (PAP), Hydrocarbon Pollution Restoration Programme (HYPREP), Ecological Fund, Pipeline Security Contracts for the Nigerian National Petroleum Corporation, allocations from the Millennium Development Goals (MDG), contributions from the international oil companies, and support from development agencies</w:t>
      </w:r>
      <w:r w:rsidR="002A4394" w:rsidRPr="00225669">
        <w:rPr>
          <w:rFonts w:cs="Arial"/>
        </w:rPr>
        <w:t>.</w:t>
      </w:r>
    </w:p>
    <w:p w14:paraId="2B273F44" w14:textId="77777777" w:rsidR="00CC7A51" w:rsidRPr="00225669" w:rsidRDefault="00CC7A51" w:rsidP="00137DFE">
      <w:pPr>
        <w:widowControl w:val="0"/>
        <w:autoSpaceDE w:val="0"/>
        <w:autoSpaceDN w:val="0"/>
        <w:adjustRightInd w:val="0"/>
        <w:jc w:val="both"/>
        <w:rPr>
          <w:rFonts w:cs="Arial"/>
        </w:rPr>
      </w:pPr>
    </w:p>
    <w:p w14:paraId="1BB2CE00" w14:textId="17837D7E" w:rsidR="00226022" w:rsidRPr="00225669" w:rsidRDefault="00226022" w:rsidP="00137DFE">
      <w:pPr>
        <w:widowControl w:val="0"/>
        <w:autoSpaceDE w:val="0"/>
        <w:autoSpaceDN w:val="0"/>
        <w:adjustRightInd w:val="0"/>
        <w:jc w:val="both"/>
        <w:rPr>
          <w:rFonts w:cs="Arial"/>
        </w:rPr>
      </w:pPr>
      <w:r w:rsidRPr="00225669">
        <w:rPr>
          <w:rFonts w:cs="Arial"/>
          <w:b/>
          <w:color w:val="31849B" w:themeColor="accent5" w:themeShade="BF"/>
        </w:rPr>
        <w:t>Yet, the region is characterised by endemic poverty and poor development outcomes.</w:t>
      </w:r>
      <w:r w:rsidRPr="00225669">
        <w:rPr>
          <w:rFonts w:cs="Arial"/>
        </w:rPr>
        <w:t xml:space="preserve"> Despite this quantum of funds</w:t>
      </w:r>
      <w:r w:rsidRPr="00225669">
        <w:rPr>
          <w:rStyle w:val="FootnoteReference"/>
          <w:rFonts w:cs="Arial"/>
        </w:rPr>
        <w:footnoteReference w:id="9"/>
      </w:r>
      <w:r w:rsidRPr="00225669">
        <w:rPr>
          <w:rFonts w:cs="Arial"/>
        </w:rPr>
        <w:t>, there is no commensurate improvement in the quality of life or standard of living of the people. In fact, some of the development indicators have gotten worse</w:t>
      </w:r>
      <w:r w:rsidR="00FF4793" w:rsidRPr="00225669">
        <w:rPr>
          <w:rFonts w:cs="Arial"/>
        </w:rPr>
        <w:t>.</w:t>
      </w:r>
      <w:r w:rsidRPr="00225669">
        <w:rPr>
          <w:rStyle w:val="FootnoteReference"/>
          <w:rFonts w:cs="Arial"/>
        </w:rPr>
        <w:footnoteReference w:id="10"/>
      </w:r>
      <w:r w:rsidR="00AB534D" w:rsidRPr="00225669">
        <w:rPr>
          <w:rFonts w:cs="Arial"/>
        </w:rPr>
        <w:t xml:space="preserve"> </w:t>
      </w:r>
      <w:r w:rsidR="008761E0" w:rsidRPr="00225669">
        <w:rPr>
          <w:rFonts w:cs="Arial"/>
        </w:rPr>
        <w:t xml:space="preserve"> </w:t>
      </w:r>
      <w:r w:rsidRPr="00225669">
        <w:rPr>
          <w:rFonts w:cs="Arial"/>
        </w:rPr>
        <w:t xml:space="preserve">Consequently endemic poverty and unemployment exacted their toll on social cohesion and authority structures in the region. </w:t>
      </w:r>
    </w:p>
    <w:p w14:paraId="3595959D" w14:textId="77777777" w:rsidR="00226022" w:rsidRPr="00225669" w:rsidRDefault="00226022" w:rsidP="00137DFE">
      <w:pPr>
        <w:widowControl w:val="0"/>
        <w:autoSpaceDE w:val="0"/>
        <w:autoSpaceDN w:val="0"/>
        <w:adjustRightInd w:val="0"/>
        <w:jc w:val="both"/>
        <w:rPr>
          <w:rFonts w:cs="Arial"/>
          <w:sz w:val="22"/>
        </w:rPr>
      </w:pPr>
    </w:p>
    <w:p w14:paraId="28B67F82" w14:textId="50E0973E" w:rsidR="00544470" w:rsidRPr="00225669" w:rsidRDefault="00FF4793" w:rsidP="00137DFE">
      <w:pPr>
        <w:jc w:val="both"/>
        <w:rPr>
          <w:rFonts w:cs="Arial"/>
        </w:rPr>
      </w:pPr>
      <w:r w:rsidRPr="00225669">
        <w:rPr>
          <w:rFonts w:cs="Arial"/>
          <w:b/>
          <w:color w:val="31849B" w:themeColor="accent5" w:themeShade="BF"/>
        </w:rPr>
        <w:t xml:space="preserve">The sharing of revenues derived from Nigeria’s </w:t>
      </w:r>
      <w:r w:rsidR="008C05DD" w:rsidRPr="00225669">
        <w:rPr>
          <w:rFonts w:cs="Arial"/>
          <w:b/>
          <w:color w:val="31849B" w:themeColor="accent5" w:themeShade="BF"/>
        </w:rPr>
        <w:t xml:space="preserve">petroleum sector </w:t>
      </w:r>
      <w:r w:rsidRPr="00225669">
        <w:rPr>
          <w:rFonts w:cs="Arial"/>
          <w:b/>
          <w:color w:val="31849B" w:themeColor="accent5" w:themeShade="BF"/>
        </w:rPr>
        <w:t xml:space="preserve">is one of the </w:t>
      </w:r>
      <w:r w:rsidR="003E4173" w:rsidRPr="00225669">
        <w:rPr>
          <w:rFonts w:cs="Arial"/>
          <w:b/>
          <w:color w:val="31849B" w:themeColor="accent5" w:themeShade="BF"/>
        </w:rPr>
        <w:t>mo</w:t>
      </w:r>
      <w:r w:rsidRPr="00225669">
        <w:rPr>
          <w:rFonts w:cs="Arial"/>
          <w:b/>
          <w:color w:val="31849B" w:themeColor="accent5" w:themeShade="BF"/>
        </w:rPr>
        <w:t>st contentious issues</w:t>
      </w:r>
      <w:r w:rsidR="008C05DD" w:rsidRPr="00225669">
        <w:rPr>
          <w:rFonts w:cs="Arial"/>
          <w:b/>
          <w:color w:val="31849B" w:themeColor="accent5" w:themeShade="BF"/>
        </w:rPr>
        <w:t xml:space="preserve"> in Nigeria’s political economy</w:t>
      </w:r>
      <w:r w:rsidR="00781CE4" w:rsidRPr="00225669">
        <w:rPr>
          <w:rFonts w:cs="Arial"/>
          <w:b/>
          <w:color w:val="31849B" w:themeColor="accent5" w:themeShade="BF"/>
        </w:rPr>
        <w:t>.</w:t>
      </w:r>
      <w:r w:rsidR="008C05DD" w:rsidRPr="00225669">
        <w:rPr>
          <w:rFonts w:cs="Arial"/>
        </w:rPr>
        <w:t xml:space="preserve"> The Niger Delta, the region from which the bulk of Nigeria’s petroleum resources are produced, has, not unexpectedly, been at the centre of this controversy. Many decades of neglect of the region by governments at the federal and state levels, particularly under military rule, left the region in decades of economic desolation, environmental degradation and popular restiveness towards government and oil producers. </w:t>
      </w:r>
      <w:r w:rsidR="00781CE4" w:rsidRPr="00225669">
        <w:rPr>
          <w:rFonts w:cs="Arial"/>
        </w:rPr>
        <w:t xml:space="preserve">The region that produces the wealth that makes Nigeria the largest economy in Africa experiences </w:t>
      </w:r>
      <w:r w:rsidR="008C05DD" w:rsidRPr="00225669">
        <w:rPr>
          <w:rFonts w:cs="Arial"/>
        </w:rPr>
        <w:t xml:space="preserve">widespread poverty and social decay. </w:t>
      </w:r>
    </w:p>
    <w:p w14:paraId="7C46676E" w14:textId="77777777" w:rsidR="00544470" w:rsidRPr="00225669" w:rsidRDefault="00544470" w:rsidP="00137DFE">
      <w:pPr>
        <w:jc w:val="both"/>
        <w:rPr>
          <w:rFonts w:cs="Arial"/>
        </w:rPr>
      </w:pPr>
    </w:p>
    <w:p w14:paraId="6263A11E" w14:textId="37F59A6D" w:rsidR="00544470" w:rsidRPr="00225669" w:rsidRDefault="008C05DD" w:rsidP="00137DFE">
      <w:pPr>
        <w:jc w:val="both"/>
        <w:rPr>
          <w:rFonts w:eastAsiaTheme="minorHAnsi" w:cs="Arial"/>
        </w:rPr>
      </w:pPr>
      <w:r w:rsidRPr="00225669">
        <w:rPr>
          <w:rFonts w:cs="Arial"/>
          <w:snapToGrid w:val="0"/>
        </w:rPr>
        <w:t>A World Bank estimate indicates that petroleum contributes about 50</w:t>
      </w:r>
      <w:r w:rsidR="0021630C" w:rsidRPr="00225669">
        <w:rPr>
          <w:rFonts w:cs="Arial"/>
          <w:snapToGrid w:val="0"/>
        </w:rPr>
        <w:t xml:space="preserve"> percent </w:t>
      </w:r>
      <w:r w:rsidRPr="00225669">
        <w:rPr>
          <w:rFonts w:cs="Arial"/>
          <w:snapToGrid w:val="0"/>
        </w:rPr>
        <w:t>of Nigeria’s GDP, 95</w:t>
      </w:r>
      <w:r w:rsidR="0021630C" w:rsidRPr="00225669">
        <w:rPr>
          <w:rFonts w:cs="Arial"/>
          <w:snapToGrid w:val="0"/>
        </w:rPr>
        <w:t xml:space="preserve"> percent </w:t>
      </w:r>
      <w:r w:rsidRPr="00225669">
        <w:rPr>
          <w:rFonts w:cs="Arial"/>
          <w:snapToGrid w:val="0"/>
        </w:rPr>
        <w:t>of foreign exchange earnings</w:t>
      </w:r>
      <w:r w:rsidR="00FF4793" w:rsidRPr="00225669">
        <w:rPr>
          <w:rFonts w:cs="Arial"/>
          <w:snapToGrid w:val="0"/>
        </w:rPr>
        <w:t>,</w:t>
      </w:r>
      <w:r w:rsidRPr="00225669">
        <w:rPr>
          <w:rFonts w:cs="Arial"/>
          <w:snapToGrid w:val="0"/>
        </w:rPr>
        <w:t xml:space="preserve"> and 80</w:t>
      </w:r>
      <w:r w:rsidR="0021630C" w:rsidRPr="00225669">
        <w:rPr>
          <w:rFonts w:cs="Arial"/>
          <w:snapToGrid w:val="0"/>
        </w:rPr>
        <w:t xml:space="preserve"> percent </w:t>
      </w:r>
      <w:r w:rsidRPr="00225669">
        <w:rPr>
          <w:rFonts w:cs="Arial"/>
          <w:snapToGrid w:val="0"/>
        </w:rPr>
        <w:t>of all budgetary revenues.</w:t>
      </w:r>
      <w:r w:rsidRPr="00225669">
        <w:rPr>
          <w:rStyle w:val="FootnoteReference"/>
          <w:rFonts w:cs="Arial"/>
          <w:snapToGrid w:val="0"/>
        </w:rPr>
        <w:footnoteReference w:id="11"/>
      </w:r>
      <w:r w:rsidR="0021630C" w:rsidRPr="00225669">
        <w:rPr>
          <w:rFonts w:cs="Arial"/>
          <w:snapToGrid w:val="0"/>
        </w:rPr>
        <w:t xml:space="preserve">  </w:t>
      </w:r>
      <w:r w:rsidRPr="00225669">
        <w:rPr>
          <w:rFonts w:cs="Arial"/>
        </w:rPr>
        <w:t xml:space="preserve">Recent </w:t>
      </w:r>
      <w:r w:rsidR="0021630C" w:rsidRPr="00225669">
        <w:rPr>
          <w:rFonts w:cs="Arial"/>
        </w:rPr>
        <w:t xml:space="preserve">data from the </w:t>
      </w:r>
      <w:r w:rsidRPr="00225669">
        <w:rPr>
          <w:rFonts w:cs="Arial"/>
        </w:rPr>
        <w:t>O</w:t>
      </w:r>
      <w:r w:rsidR="0021630C" w:rsidRPr="00225669">
        <w:rPr>
          <w:rFonts w:cs="Arial"/>
        </w:rPr>
        <w:t xml:space="preserve">rganisation of </w:t>
      </w:r>
      <w:r w:rsidRPr="00225669">
        <w:rPr>
          <w:rFonts w:cs="Arial"/>
        </w:rPr>
        <w:t>P</w:t>
      </w:r>
      <w:r w:rsidR="0021630C" w:rsidRPr="00225669">
        <w:rPr>
          <w:rFonts w:cs="Arial"/>
        </w:rPr>
        <w:t xml:space="preserve">etroleum </w:t>
      </w:r>
      <w:r w:rsidRPr="00225669">
        <w:rPr>
          <w:rFonts w:cs="Arial"/>
        </w:rPr>
        <w:t>E</w:t>
      </w:r>
      <w:r w:rsidR="0021630C" w:rsidRPr="00225669">
        <w:rPr>
          <w:rFonts w:cs="Arial"/>
        </w:rPr>
        <w:t>xportin</w:t>
      </w:r>
      <w:r w:rsidR="00FF4793" w:rsidRPr="00225669">
        <w:rPr>
          <w:rFonts w:cs="Arial"/>
        </w:rPr>
        <w:t>g</w:t>
      </w:r>
      <w:r w:rsidR="0021630C" w:rsidRPr="00225669">
        <w:rPr>
          <w:rFonts w:cs="Arial"/>
        </w:rPr>
        <w:t xml:space="preserve"> </w:t>
      </w:r>
      <w:r w:rsidRPr="00225669">
        <w:rPr>
          <w:rFonts w:cs="Arial"/>
        </w:rPr>
        <w:t>C</w:t>
      </w:r>
      <w:r w:rsidR="0021630C" w:rsidRPr="00225669">
        <w:rPr>
          <w:rFonts w:cs="Arial"/>
        </w:rPr>
        <w:t>ountries (OPEC)</w:t>
      </w:r>
      <w:r w:rsidRPr="00225669">
        <w:rPr>
          <w:rFonts w:cs="Arial"/>
        </w:rPr>
        <w:t xml:space="preserve"> suggest that in 2014 alone, Nigeria earn</w:t>
      </w:r>
      <w:r w:rsidR="00CA310B" w:rsidRPr="00225669">
        <w:rPr>
          <w:rFonts w:cs="Arial"/>
        </w:rPr>
        <w:t>ed</w:t>
      </w:r>
      <w:r w:rsidRPr="00225669">
        <w:rPr>
          <w:rFonts w:cs="Arial"/>
        </w:rPr>
        <w:t xml:space="preserve"> </w:t>
      </w:r>
      <w:r w:rsidR="00CA310B" w:rsidRPr="00225669">
        <w:rPr>
          <w:rFonts w:cs="Arial"/>
        </w:rPr>
        <w:t xml:space="preserve">an </w:t>
      </w:r>
      <w:r w:rsidRPr="00225669">
        <w:rPr>
          <w:rFonts w:cs="Arial"/>
        </w:rPr>
        <w:t xml:space="preserve">average </w:t>
      </w:r>
      <w:r w:rsidR="00CA310B" w:rsidRPr="00225669">
        <w:rPr>
          <w:rFonts w:cs="Arial"/>
        </w:rPr>
        <w:t xml:space="preserve">of </w:t>
      </w:r>
      <w:r w:rsidRPr="00225669">
        <w:rPr>
          <w:rFonts w:cs="Arial"/>
        </w:rPr>
        <w:t>$210 million daily, or about $77 billion annually from crude oil export. And in the five years from 2010 through 2014, the country earned over $415 billion from the export of crude oil.</w:t>
      </w:r>
      <w:r w:rsidRPr="00225669">
        <w:rPr>
          <w:rStyle w:val="FootnoteReference"/>
          <w:rFonts w:cs="Arial"/>
        </w:rPr>
        <w:footnoteReference w:id="12"/>
      </w:r>
      <w:r w:rsidRPr="00225669">
        <w:rPr>
          <w:rFonts w:cs="Arial"/>
        </w:rPr>
        <w:t xml:space="preserve"> </w:t>
      </w:r>
      <w:r w:rsidR="00CA310B" w:rsidRPr="00225669">
        <w:rPr>
          <w:rFonts w:cs="Arial"/>
        </w:rPr>
        <w:t xml:space="preserve"> </w:t>
      </w:r>
      <w:r w:rsidRPr="00225669">
        <w:rPr>
          <w:rFonts w:cs="Arial"/>
        </w:rPr>
        <w:t>In spite of the wealth of the Niger Delta, around the time the military left office, available figures showed that only 27</w:t>
      </w:r>
      <w:r w:rsidR="00CA310B" w:rsidRPr="00225669">
        <w:rPr>
          <w:rFonts w:cs="Arial"/>
        </w:rPr>
        <w:t xml:space="preserve"> percent </w:t>
      </w:r>
      <w:r w:rsidRPr="00225669">
        <w:rPr>
          <w:rFonts w:cs="Arial"/>
        </w:rPr>
        <w:t>of people in the Delta had safe drinking water and about 30</w:t>
      </w:r>
      <w:r w:rsidR="00CA310B" w:rsidRPr="00225669">
        <w:rPr>
          <w:rFonts w:cs="Arial"/>
        </w:rPr>
        <w:t xml:space="preserve"> percent </w:t>
      </w:r>
      <w:r w:rsidRPr="00225669">
        <w:rPr>
          <w:rFonts w:cs="Arial"/>
        </w:rPr>
        <w:t>of households had access to electricity, both of which were below the national averages of 31.7</w:t>
      </w:r>
      <w:r w:rsidR="00CA310B" w:rsidRPr="00225669">
        <w:rPr>
          <w:rFonts w:cs="Arial"/>
        </w:rPr>
        <w:t xml:space="preserve"> percent </w:t>
      </w:r>
      <w:r w:rsidRPr="00225669">
        <w:rPr>
          <w:rFonts w:cs="Arial"/>
        </w:rPr>
        <w:t>and 33.6</w:t>
      </w:r>
      <w:r w:rsidR="00CA310B" w:rsidRPr="00225669">
        <w:rPr>
          <w:rFonts w:cs="Arial"/>
        </w:rPr>
        <w:t xml:space="preserve"> percent </w:t>
      </w:r>
      <w:r w:rsidRPr="00225669">
        <w:rPr>
          <w:rFonts w:cs="Arial"/>
        </w:rPr>
        <w:t>respectively. At the same time, there was one doctor per 82,000 people, rising to one doctor per 132,000 people in some areas, especially the rural areas, which is more than three times the national average of 40,000 people per doctor.</w:t>
      </w:r>
      <w:r w:rsidRPr="00225669">
        <w:rPr>
          <w:rStyle w:val="FootnoteReference"/>
          <w:rFonts w:cs="Arial"/>
        </w:rPr>
        <w:footnoteReference w:id="13"/>
      </w:r>
    </w:p>
    <w:p w14:paraId="2328F07D" w14:textId="77777777" w:rsidR="00544470" w:rsidRPr="00225669" w:rsidRDefault="00544470" w:rsidP="00137DFE">
      <w:pPr>
        <w:jc w:val="both"/>
        <w:rPr>
          <w:rFonts w:cs="Arial"/>
        </w:rPr>
      </w:pPr>
    </w:p>
    <w:p w14:paraId="009E0A02" w14:textId="3EB8AFA4" w:rsidR="008B6EEA" w:rsidRPr="00225669" w:rsidRDefault="008C05DD" w:rsidP="00137DFE">
      <w:pPr>
        <w:pStyle w:val="BodyText"/>
        <w:spacing w:before="0" w:after="0"/>
        <w:jc w:val="both"/>
        <w:rPr>
          <w:rFonts w:eastAsiaTheme="minorEastAsia" w:cs="Arial"/>
          <w:b w:val="0"/>
          <w:sz w:val="24"/>
        </w:rPr>
      </w:pPr>
      <w:r w:rsidRPr="00225669">
        <w:rPr>
          <w:rFonts w:cs="Arial"/>
          <w:b w:val="0"/>
          <w:sz w:val="24"/>
        </w:rPr>
        <w:t>According to a World Bank study,</w:t>
      </w:r>
      <w:r w:rsidR="00FF4793" w:rsidRPr="00225669">
        <w:rPr>
          <w:rFonts w:cs="Arial"/>
          <w:b w:val="0"/>
          <w:sz w:val="24"/>
        </w:rPr>
        <w:t xml:space="preserve"> at a score of 783, </w:t>
      </w:r>
      <w:r w:rsidRPr="00225669">
        <w:rPr>
          <w:rFonts w:cs="Arial"/>
          <w:b w:val="0"/>
          <w:sz w:val="24"/>
        </w:rPr>
        <w:t>the urban areas of Rivers State</w:t>
      </w:r>
      <w:r w:rsidR="00FF4793" w:rsidRPr="00225669">
        <w:rPr>
          <w:rFonts w:cs="Arial"/>
          <w:b w:val="0"/>
          <w:sz w:val="24"/>
        </w:rPr>
        <w:t xml:space="preserve"> have the highest cost of living index in Nigeria</w:t>
      </w:r>
      <w:r w:rsidRPr="00225669">
        <w:rPr>
          <w:rFonts w:cs="Arial"/>
          <w:b w:val="0"/>
          <w:sz w:val="24"/>
        </w:rPr>
        <w:t>. GNP per capita was below the national average of $280 and unemployment in Port Harcourt, the principal city of the Niger Delta, was as high as 30</w:t>
      </w:r>
      <w:r w:rsidR="00CA310B" w:rsidRPr="00225669">
        <w:rPr>
          <w:rFonts w:cs="Arial"/>
          <w:b w:val="0"/>
          <w:sz w:val="24"/>
        </w:rPr>
        <w:t xml:space="preserve"> percent. </w:t>
      </w:r>
      <w:r w:rsidRPr="00225669">
        <w:rPr>
          <w:rFonts w:cs="Arial"/>
          <w:b w:val="0"/>
          <w:sz w:val="24"/>
        </w:rPr>
        <w:t>In addition, access to education, which is central to remedying some of the parlous social conditions of people in the region, lagged when compared to other parts of the country. While 76</w:t>
      </w:r>
      <w:r w:rsidR="00CA310B" w:rsidRPr="00225669">
        <w:rPr>
          <w:rFonts w:cs="Arial"/>
          <w:b w:val="0"/>
          <w:sz w:val="24"/>
        </w:rPr>
        <w:t xml:space="preserve"> percent </w:t>
      </w:r>
      <w:r w:rsidRPr="00225669">
        <w:rPr>
          <w:rFonts w:cs="Arial"/>
          <w:b w:val="0"/>
          <w:sz w:val="24"/>
        </w:rPr>
        <w:t>of all Nigerian children attended primary school, in the Niger Delta the figure dropped to between 30 and 40 percent.</w:t>
      </w:r>
      <w:r w:rsidR="00B82841" w:rsidRPr="00225669">
        <w:rPr>
          <w:rStyle w:val="FootnoteReference"/>
          <w:rFonts w:cs="Arial"/>
          <w:b w:val="0"/>
          <w:sz w:val="24"/>
        </w:rPr>
        <w:footnoteReference w:id="14"/>
      </w:r>
    </w:p>
    <w:p w14:paraId="49F2A2A7" w14:textId="77777777" w:rsidR="008B6EEA" w:rsidRPr="00225669" w:rsidRDefault="008B6EEA" w:rsidP="00137DFE">
      <w:pPr>
        <w:jc w:val="both"/>
        <w:rPr>
          <w:rFonts w:cs="Arial"/>
        </w:rPr>
      </w:pPr>
    </w:p>
    <w:p w14:paraId="2073CF9C" w14:textId="68EA7A75" w:rsidR="00AB534D" w:rsidRPr="00225669" w:rsidRDefault="008D0FCF" w:rsidP="00137DFE">
      <w:pPr>
        <w:pStyle w:val="BodyText"/>
        <w:spacing w:before="0" w:after="0"/>
        <w:jc w:val="both"/>
        <w:rPr>
          <w:rFonts w:cs="Arial"/>
          <w:b w:val="0"/>
          <w:sz w:val="24"/>
        </w:rPr>
      </w:pPr>
      <w:r w:rsidRPr="00225669">
        <w:rPr>
          <w:rFonts w:cs="Arial"/>
          <w:b w:val="0"/>
          <w:sz w:val="24"/>
        </w:rPr>
        <w:t>Paradoxically, there is a</w:t>
      </w:r>
      <w:r w:rsidR="00B82841" w:rsidRPr="00225669">
        <w:rPr>
          <w:rFonts w:cs="Arial"/>
          <w:b w:val="0"/>
          <w:sz w:val="24"/>
        </w:rPr>
        <w:t xml:space="preserve"> marked discrepancy between th</w:t>
      </w:r>
      <w:r w:rsidRPr="00225669">
        <w:rPr>
          <w:rFonts w:cs="Arial"/>
          <w:b w:val="0"/>
          <w:sz w:val="24"/>
        </w:rPr>
        <w:t xml:space="preserve">e </w:t>
      </w:r>
      <w:r w:rsidR="00CA310B" w:rsidRPr="00225669">
        <w:rPr>
          <w:rFonts w:cs="Arial"/>
          <w:b w:val="0"/>
          <w:sz w:val="24"/>
        </w:rPr>
        <w:t xml:space="preserve">socio-economic </w:t>
      </w:r>
      <w:r w:rsidRPr="00225669">
        <w:rPr>
          <w:rFonts w:cs="Arial"/>
          <w:b w:val="0"/>
          <w:sz w:val="24"/>
        </w:rPr>
        <w:t xml:space="preserve">conditions and the financial resources </w:t>
      </w:r>
      <w:r w:rsidR="00B82841" w:rsidRPr="00225669">
        <w:rPr>
          <w:rFonts w:cs="Arial"/>
          <w:b w:val="0"/>
          <w:sz w:val="24"/>
        </w:rPr>
        <w:t xml:space="preserve">that have invested in the social development of the Niger Delta by </w:t>
      </w:r>
      <w:r w:rsidRPr="00225669">
        <w:rPr>
          <w:rFonts w:cs="Arial"/>
          <w:b w:val="0"/>
          <w:sz w:val="24"/>
        </w:rPr>
        <w:t>th</w:t>
      </w:r>
      <w:r w:rsidR="00CA310B" w:rsidRPr="00225669">
        <w:rPr>
          <w:rFonts w:cs="Arial"/>
          <w:b w:val="0"/>
          <w:sz w:val="24"/>
        </w:rPr>
        <w:t xml:space="preserve">e </w:t>
      </w:r>
      <w:r w:rsidRPr="00225669">
        <w:rPr>
          <w:rFonts w:cs="Arial"/>
          <w:b w:val="0"/>
          <w:sz w:val="24"/>
        </w:rPr>
        <w:t>government, oil companies and other development agencies. For instance, between 1993 and 1997, the Oil Mineral Producing Areas Development Commission (OMPADEC), then the national government’s main development agency in the Delta, officially spent about $870 million purportedly in uplifting the social conditions of the region. Its successor, the Niger Delta Development Commission (NDDC), which became operational in January 2001, is estimated to spend between $300 million and $500 million annually in the Niger Delta. At the same time, the 1999 Constitution of Nigeria, which came into effect at the end of military rule, provides for 13</w:t>
      </w:r>
      <w:r w:rsidR="00CA310B" w:rsidRPr="00225669">
        <w:rPr>
          <w:rFonts w:cs="Arial"/>
          <w:b w:val="0"/>
          <w:sz w:val="24"/>
        </w:rPr>
        <w:t xml:space="preserve"> percent </w:t>
      </w:r>
      <w:r w:rsidRPr="00225669">
        <w:rPr>
          <w:rFonts w:cs="Arial"/>
          <w:b w:val="0"/>
          <w:sz w:val="24"/>
        </w:rPr>
        <w:t xml:space="preserve">of petroleum revenues to be returned to the States of production by derivation. In addition to governmental sources, oil companies and other development agencies collectively spend as much as $200 million annually </w:t>
      </w:r>
      <w:r w:rsidR="00CA310B" w:rsidRPr="00225669">
        <w:rPr>
          <w:rFonts w:cs="Arial"/>
          <w:b w:val="0"/>
          <w:sz w:val="24"/>
        </w:rPr>
        <w:t>o</w:t>
      </w:r>
      <w:r w:rsidRPr="00225669">
        <w:rPr>
          <w:rFonts w:cs="Arial"/>
          <w:b w:val="0"/>
          <w:sz w:val="24"/>
        </w:rPr>
        <w:t>n development projects in the region.</w:t>
      </w:r>
      <w:r w:rsidRPr="00225669">
        <w:rPr>
          <w:rStyle w:val="FootnoteReference"/>
          <w:rFonts w:cs="Arial"/>
          <w:b w:val="0"/>
          <w:sz w:val="24"/>
        </w:rPr>
        <w:footnoteReference w:id="15"/>
      </w:r>
      <w:r w:rsidRPr="00225669">
        <w:rPr>
          <w:rFonts w:cs="Arial"/>
          <w:b w:val="0"/>
          <w:sz w:val="24"/>
        </w:rPr>
        <w:t xml:space="preserve"> </w:t>
      </w:r>
    </w:p>
    <w:p w14:paraId="15F057C9" w14:textId="77777777" w:rsidR="00AB534D" w:rsidRPr="00225669" w:rsidRDefault="00AB534D" w:rsidP="00D46099">
      <w:pPr>
        <w:pStyle w:val="BodyText"/>
        <w:spacing w:before="0" w:after="0"/>
        <w:jc w:val="both"/>
        <w:rPr>
          <w:rFonts w:cs="Arial"/>
          <w:b w:val="0"/>
          <w:sz w:val="24"/>
        </w:rPr>
      </w:pPr>
    </w:p>
    <w:p w14:paraId="406471C4" w14:textId="26F51BF6" w:rsidR="00F8748A" w:rsidRPr="00225669" w:rsidRDefault="00D46099" w:rsidP="00D46099">
      <w:pPr>
        <w:pStyle w:val="BodyText"/>
        <w:spacing w:before="0" w:after="0"/>
        <w:jc w:val="both"/>
        <w:rPr>
          <w:rFonts w:cs="Arial"/>
          <w:b w:val="0"/>
          <w:sz w:val="24"/>
        </w:rPr>
      </w:pPr>
      <w:r w:rsidRPr="00225669">
        <w:rPr>
          <w:rFonts w:cs="Arial"/>
          <w:b w:val="0"/>
          <w:sz w:val="24"/>
        </w:rPr>
        <w:t xml:space="preserve">The Federal Government of Nigeria has committed millions of dollars to the Niger Delta region with the establishment of </w:t>
      </w:r>
      <w:r w:rsidR="008D0FCF" w:rsidRPr="00225669">
        <w:rPr>
          <w:rFonts w:cs="Arial"/>
          <w:b w:val="0"/>
          <w:sz w:val="24"/>
        </w:rPr>
        <w:t xml:space="preserve">the </w:t>
      </w:r>
      <w:r w:rsidR="00CA310B" w:rsidRPr="00225669">
        <w:rPr>
          <w:rFonts w:cs="Arial"/>
          <w:b w:val="0"/>
          <w:sz w:val="24"/>
        </w:rPr>
        <w:t xml:space="preserve">Presidential </w:t>
      </w:r>
      <w:r w:rsidR="008D0FCF" w:rsidRPr="00225669">
        <w:rPr>
          <w:rFonts w:cs="Arial"/>
          <w:b w:val="0"/>
          <w:sz w:val="24"/>
        </w:rPr>
        <w:t>Amnesty Programme</w:t>
      </w:r>
      <w:r w:rsidRPr="00225669">
        <w:rPr>
          <w:rFonts w:cs="Arial"/>
          <w:b w:val="0"/>
          <w:sz w:val="24"/>
        </w:rPr>
        <w:t xml:space="preserve">, </w:t>
      </w:r>
      <w:r w:rsidR="00CA310B" w:rsidRPr="00225669">
        <w:rPr>
          <w:rFonts w:cs="Arial"/>
          <w:b w:val="0"/>
          <w:sz w:val="24"/>
        </w:rPr>
        <w:t xml:space="preserve">Federal </w:t>
      </w:r>
      <w:r w:rsidR="008D0FCF" w:rsidRPr="00225669">
        <w:rPr>
          <w:rFonts w:cs="Arial"/>
          <w:b w:val="0"/>
          <w:sz w:val="24"/>
        </w:rPr>
        <w:t>Ministry of Niger Delta</w:t>
      </w:r>
      <w:r w:rsidR="00CA310B" w:rsidRPr="00225669">
        <w:rPr>
          <w:rFonts w:cs="Arial"/>
          <w:b w:val="0"/>
          <w:sz w:val="24"/>
        </w:rPr>
        <w:t xml:space="preserve"> Affairs</w:t>
      </w:r>
      <w:r w:rsidR="008D0FCF" w:rsidRPr="00225669">
        <w:rPr>
          <w:rFonts w:cs="Arial"/>
          <w:b w:val="0"/>
          <w:sz w:val="24"/>
        </w:rPr>
        <w:t>, as well as the Hydrocarbon Pollution Remediation Project.</w:t>
      </w:r>
    </w:p>
    <w:p w14:paraId="686D4B6F" w14:textId="77777777" w:rsidR="008C05DD" w:rsidRPr="00225669" w:rsidRDefault="008C05DD" w:rsidP="00D46099">
      <w:pPr>
        <w:pStyle w:val="BodyText"/>
        <w:spacing w:before="0" w:after="0"/>
        <w:jc w:val="both"/>
        <w:rPr>
          <w:rFonts w:cs="Arial"/>
          <w:b w:val="0"/>
          <w:sz w:val="24"/>
        </w:rPr>
      </w:pPr>
    </w:p>
    <w:p w14:paraId="43F3DC5B" w14:textId="77777777" w:rsidR="008C05DD" w:rsidRPr="00225669" w:rsidRDefault="008C05DD" w:rsidP="00137DFE">
      <w:pPr>
        <w:pStyle w:val="Heading2"/>
        <w:rPr>
          <w:rFonts w:ascii="Arial" w:hAnsi="Arial" w:cs="Arial"/>
        </w:rPr>
      </w:pPr>
      <w:bookmarkStart w:id="11" w:name="_Toc311709484"/>
      <w:r w:rsidRPr="00225669">
        <w:rPr>
          <w:rFonts w:ascii="Arial" w:hAnsi="Arial" w:cs="Arial"/>
        </w:rPr>
        <w:t>The Niger Delta Region</w:t>
      </w:r>
      <w:r w:rsidR="003537F1" w:rsidRPr="00225669">
        <w:rPr>
          <w:rFonts w:ascii="Arial" w:hAnsi="Arial" w:cs="Arial"/>
        </w:rPr>
        <w:t xml:space="preserve"> and Oil production</w:t>
      </w:r>
      <w:bookmarkEnd w:id="11"/>
    </w:p>
    <w:p w14:paraId="3A393387" w14:textId="18F5BE2F" w:rsidR="00971E76" w:rsidRPr="00225669" w:rsidRDefault="00317243" w:rsidP="00137DFE">
      <w:pPr>
        <w:jc w:val="both"/>
        <w:rPr>
          <w:rFonts w:cs="Arial"/>
          <w:snapToGrid w:val="0"/>
        </w:rPr>
      </w:pPr>
      <w:r w:rsidRPr="00225669">
        <w:rPr>
          <w:rFonts w:cs="Arial"/>
          <w:snapToGrid w:val="0"/>
        </w:rPr>
        <w:t xml:space="preserve">Most of the international oil companies </w:t>
      </w:r>
      <w:r w:rsidR="008B3E5F" w:rsidRPr="00225669">
        <w:rPr>
          <w:rFonts w:cs="Arial"/>
          <w:snapToGrid w:val="0"/>
        </w:rPr>
        <w:t xml:space="preserve">(such as </w:t>
      </w:r>
      <w:r w:rsidR="008B3E5F" w:rsidRPr="00225669">
        <w:rPr>
          <w:rFonts w:cs="Arial"/>
        </w:rPr>
        <w:t xml:space="preserve">Shell, </w:t>
      </w:r>
      <w:r w:rsidR="00B82841" w:rsidRPr="00225669">
        <w:rPr>
          <w:rFonts w:cs="Arial"/>
        </w:rPr>
        <w:t>Elf, Exxon</w:t>
      </w:r>
      <w:r w:rsidR="008B3E5F" w:rsidRPr="00225669">
        <w:rPr>
          <w:rFonts w:cs="Arial"/>
        </w:rPr>
        <w:t xml:space="preserve">Mobil, </w:t>
      </w:r>
      <w:r w:rsidR="00B82841" w:rsidRPr="00225669">
        <w:rPr>
          <w:rFonts w:cs="Arial"/>
        </w:rPr>
        <w:t xml:space="preserve">Agip, </w:t>
      </w:r>
      <w:r w:rsidR="008B3E5F" w:rsidRPr="00225669">
        <w:rPr>
          <w:rFonts w:cs="Arial"/>
        </w:rPr>
        <w:t>Chevron, Agip, and Total</w:t>
      </w:r>
      <w:r w:rsidR="008B3E5F" w:rsidRPr="00225669">
        <w:rPr>
          <w:rFonts w:cs="Arial"/>
          <w:snapToGrid w:val="0"/>
        </w:rPr>
        <w:t>) have operations in Nigeria</w:t>
      </w:r>
      <w:r w:rsidRPr="00225669">
        <w:rPr>
          <w:rFonts w:cs="Arial"/>
          <w:snapToGrid w:val="0"/>
        </w:rPr>
        <w:t xml:space="preserve">. </w:t>
      </w:r>
      <w:r w:rsidR="00971E76" w:rsidRPr="00225669">
        <w:rPr>
          <w:rFonts w:cs="Arial"/>
          <w:snapToGrid w:val="0"/>
        </w:rPr>
        <w:t>M</w:t>
      </w:r>
      <w:r w:rsidRPr="00225669">
        <w:rPr>
          <w:rFonts w:cs="Arial"/>
          <w:snapToGrid w:val="0"/>
        </w:rPr>
        <w:t xml:space="preserve">ore recent entrants include Statoil, Addax and Star companies. </w:t>
      </w:r>
      <w:r w:rsidR="001C191C" w:rsidRPr="00225669">
        <w:rPr>
          <w:rFonts w:cs="Arial"/>
          <w:snapToGrid w:val="0"/>
        </w:rPr>
        <w:t xml:space="preserve"> A number of indigenous oil companies operate in Nigeria, for instance, Seplat Petroleum, </w:t>
      </w:r>
      <w:r w:rsidRPr="00225669">
        <w:rPr>
          <w:rFonts w:cs="Arial"/>
          <w:snapToGrid w:val="0"/>
        </w:rPr>
        <w:t xml:space="preserve">Orient Oil, </w:t>
      </w:r>
      <w:r w:rsidR="001C191C" w:rsidRPr="00225669">
        <w:rPr>
          <w:rFonts w:cs="Arial"/>
          <w:snapToGrid w:val="0"/>
        </w:rPr>
        <w:t xml:space="preserve">etc. </w:t>
      </w:r>
      <w:r w:rsidRPr="00225669">
        <w:rPr>
          <w:rFonts w:cs="Arial"/>
          <w:snapToGrid w:val="0"/>
        </w:rPr>
        <w:t>Their operations are principally</w:t>
      </w:r>
      <w:r w:rsidR="00971E76" w:rsidRPr="00225669">
        <w:rPr>
          <w:rFonts w:cs="Arial"/>
          <w:snapToGrid w:val="0"/>
        </w:rPr>
        <w:t xml:space="preserve"> organis</w:t>
      </w:r>
      <w:r w:rsidRPr="00225669">
        <w:rPr>
          <w:rFonts w:cs="Arial"/>
          <w:snapToGrid w:val="0"/>
        </w:rPr>
        <w:t>ed as joint ventures with the state-owned N</w:t>
      </w:r>
      <w:r w:rsidR="00971E76" w:rsidRPr="00225669">
        <w:rPr>
          <w:rFonts w:cs="Arial"/>
          <w:snapToGrid w:val="0"/>
        </w:rPr>
        <w:t xml:space="preserve">igeria </w:t>
      </w:r>
      <w:r w:rsidRPr="00225669">
        <w:rPr>
          <w:rFonts w:cs="Arial"/>
          <w:snapToGrid w:val="0"/>
        </w:rPr>
        <w:t>N</w:t>
      </w:r>
      <w:r w:rsidR="00971E76" w:rsidRPr="00225669">
        <w:rPr>
          <w:rFonts w:cs="Arial"/>
          <w:snapToGrid w:val="0"/>
        </w:rPr>
        <w:t xml:space="preserve">ational </w:t>
      </w:r>
      <w:r w:rsidRPr="00225669">
        <w:rPr>
          <w:rFonts w:cs="Arial"/>
          <w:snapToGrid w:val="0"/>
        </w:rPr>
        <w:t>P</w:t>
      </w:r>
      <w:r w:rsidR="00971E76" w:rsidRPr="00225669">
        <w:rPr>
          <w:rFonts w:cs="Arial"/>
          <w:snapToGrid w:val="0"/>
        </w:rPr>
        <w:t xml:space="preserve">etroleum </w:t>
      </w:r>
      <w:r w:rsidRPr="00225669">
        <w:rPr>
          <w:rFonts w:cs="Arial"/>
          <w:snapToGrid w:val="0"/>
        </w:rPr>
        <w:t>C</w:t>
      </w:r>
      <w:r w:rsidR="00971E76" w:rsidRPr="00225669">
        <w:rPr>
          <w:rFonts w:cs="Arial"/>
          <w:snapToGrid w:val="0"/>
        </w:rPr>
        <w:t>orporation (NNPC)</w:t>
      </w:r>
      <w:r w:rsidRPr="00225669">
        <w:rPr>
          <w:rFonts w:cs="Arial"/>
          <w:snapToGrid w:val="0"/>
        </w:rPr>
        <w:t>.</w:t>
      </w:r>
    </w:p>
    <w:p w14:paraId="5E439F98" w14:textId="77777777" w:rsidR="00971E76" w:rsidRPr="00225669" w:rsidRDefault="00971E76" w:rsidP="00137DFE">
      <w:pPr>
        <w:jc w:val="both"/>
        <w:rPr>
          <w:rFonts w:cs="Arial"/>
          <w:snapToGrid w:val="0"/>
        </w:rPr>
      </w:pPr>
    </w:p>
    <w:p w14:paraId="4D6F2979" w14:textId="29B9CFE0" w:rsidR="00971E76" w:rsidRPr="00225669" w:rsidRDefault="00317243" w:rsidP="00137DFE">
      <w:pPr>
        <w:jc w:val="both"/>
        <w:rPr>
          <w:rFonts w:cs="Arial"/>
        </w:rPr>
      </w:pPr>
      <w:r w:rsidRPr="00225669">
        <w:rPr>
          <w:rFonts w:cs="Arial"/>
          <w:snapToGrid w:val="0"/>
        </w:rPr>
        <w:t>Nigeria is the fifth largest producer of crude oil in the Organization of Petroleum Exporting Countries (OPEC). At peak production in the 1970s, it exported two million barrels per day. In the 1980s and 1990</w:t>
      </w:r>
      <w:r w:rsidR="00971E76" w:rsidRPr="00225669">
        <w:rPr>
          <w:rFonts w:cs="Arial"/>
          <w:snapToGrid w:val="0"/>
        </w:rPr>
        <w:t>s</w:t>
      </w:r>
      <w:r w:rsidRPr="00225669">
        <w:rPr>
          <w:rFonts w:cs="Arial"/>
          <w:snapToGrid w:val="0"/>
        </w:rPr>
        <w:t xml:space="preserve">, this </w:t>
      </w:r>
      <w:r w:rsidR="00C8639A" w:rsidRPr="00225669">
        <w:rPr>
          <w:rFonts w:cs="Arial"/>
          <w:snapToGrid w:val="0"/>
        </w:rPr>
        <w:t xml:space="preserve">production </w:t>
      </w:r>
      <w:r w:rsidRPr="00225669">
        <w:rPr>
          <w:rFonts w:cs="Arial"/>
          <w:snapToGrid w:val="0"/>
        </w:rPr>
        <w:t xml:space="preserve">declined to an average of about 1.7 million barrels daily. However, between 2010 and 2014, Nigeria’s export quota, which is determined by OPEC, stood at around an average of 2.3 million barrels daily, mostly sold to Europe, North America and Asia. </w:t>
      </w:r>
      <w:r w:rsidRPr="00225669">
        <w:rPr>
          <w:rFonts w:cs="Arial"/>
        </w:rPr>
        <w:t>As a member of OPEC, Nigeria’s production of crude oil is set within the framework of</w:t>
      </w:r>
      <w:r w:rsidR="00B82841" w:rsidRPr="00225669">
        <w:rPr>
          <w:rFonts w:cs="Arial"/>
        </w:rPr>
        <w:t xml:space="preserve"> the quota system of the Organis</w:t>
      </w:r>
      <w:r w:rsidRPr="00225669">
        <w:rPr>
          <w:rFonts w:cs="Arial"/>
        </w:rPr>
        <w:t xml:space="preserve">ation. </w:t>
      </w:r>
    </w:p>
    <w:p w14:paraId="74F32F79" w14:textId="77777777" w:rsidR="008C05DD" w:rsidRPr="00225669" w:rsidRDefault="008C05DD" w:rsidP="00137DFE">
      <w:pPr>
        <w:jc w:val="both"/>
        <w:rPr>
          <w:rFonts w:cs="Arial"/>
          <w:snapToGrid w:val="0"/>
        </w:rPr>
      </w:pPr>
    </w:p>
    <w:p w14:paraId="30713802" w14:textId="501C407E" w:rsidR="008C05DD" w:rsidRPr="00225669" w:rsidRDefault="008D0FCF" w:rsidP="00137DFE">
      <w:pPr>
        <w:jc w:val="both"/>
        <w:rPr>
          <w:rFonts w:cs="Arial"/>
          <w:snapToGrid w:val="0"/>
        </w:rPr>
      </w:pPr>
      <w:r w:rsidRPr="00225669">
        <w:rPr>
          <w:rFonts w:cs="Arial"/>
          <w:snapToGrid w:val="0"/>
        </w:rPr>
        <w:t xml:space="preserve">Nigeria’s oil </w:t>
      </w:r>
      <w:r w:rsidR="00C8639A" w:rsidRPr="00225669">
        <w:rPr>
          <w:rFonts w:cs="Arial"/>
          <w:snapToGrid w:val="0"/>
        </w:rPr>
        <w:t xml:space="preserve">commands a premium price because it is considered to be more </w:t>
      </w:r>
      <w:r w:rsidRPr="00225669">
        <w:rPr>
          <w:rFonts w:cs="Arial"/>
          <w:snapToGrid w:val="0"/>
        </w:rPr>
        <w:t xml:space="preserve">environmentally friendly because of its low sulphur content. </w:t>
      </w:r>
      <w:r w:rsidR="00BA43CF" w:rsidRPr="00225669">
        <w:rPr>
          <w:rFonts w:cs="Arial"/>
          <w:snapToGrid w:val="0"/>
        </w:rPr>
        <w:t xml:space="preserve">As a result, between 2010 and 2014, Nigeria’s </w:t>
      </w:r>
      <w:r w:rsidRPr="00225669">
        <w:rPr>
          <w:rFonts w:cs="Arial"/>
          <w:i/>
          <w:snapToGrid w:val="0"/>
        </w:rPr>
        <w:t>Bonny Light</w:t>
      </w:r>
      <w:r w:rsidRPr="00225669">
        <w:rPr>
          <w:rFonts w:cs="Arial"/>
          <w:snapToGrid w:val="0"/>
        </w:rPr>
        <w:t xml:space="preserve"> was the highest </w:t>
      </w:r>
      <w:r w:rsidR="00BA43CF" w:rsidRPr="00225669">
        <w:rPr>
          <w:rFonts w:cs="Arial"/>
          <w:snapToGrid w:val="0"/>
        </w:rPr>
        <w:t xml:space="preserve">priced </w:t>
      </w:r>
      <w:r w:rsidRPr="00225669">
        <w:rPr>
          <w:rFonts w:cs="Arial"/>
          <w:snapToGrid w:val="0"/>
        </w:rPr>
        <w:t xml:space="preserve">among all OPEC members averaging more than </w:t>
      </w:r>
      <w:r w:rsidR="00B82841" w:rsidRPr="00225669">
        <w:rPr>
          <w:rFonts w:cs="Arial"/>
          <w:snapToGrid w:val="0"/>
        </w:rPr>
        <w:t>US</w:t>
      </w:r>
      <w:r w:rsidRPr="00225669">
        <w:rPr>
          <w:rFonts w:cs="Arial"/>
          <w:snapToGrid w:val="0"/>
        </w:rPr>
        <w:t>$104.2</w:t>
      </w:r>
      <w:r w:rsidR="00B82841" w:rsidRPr="00225669">
        <w:rPr>
          <w:rFonts w:cs="Arial"/>
          <w:snapToGrid w:val="0"/>
        </w:rPr>
        <w:t>0</w:t>
      </w:r>
      <w:r w:rsidRPr="00225669">
        <w:rPr>
          <w:rFonts w:cs="Arial"/>
          <w:snapToGrid w:val="0"/>
        </w:rPr>
        <w:t xml:space="preserve"> per barrel compared to the average OPEC Reference Basket (ORB) of about $99.3</w:t>
      </w:r>
      <w:r w:rsidR="00B82841" w:rsidRPr="00225669">
        <w:rPr>
          <w:rFonts w:cs="Arial"/>
          <w:snapToGrid w:val="0"/>
        </w:rPr>
        <w:t>0</w:t>
      </w:r>
      <w:r w:rsidRPr="00225669">
        <w:rPr>
          <w:rFonts w:cs="Arial"/>
          <w:snapToGrid w:val="0"/>
        </w:rPr>
        <w:t>.</w:t>
      </w:r>
    </w:p>
    <w:p w14:paraId="784B4E75" w14:textId="77777777" w:rsidR="008C05DD" w:rsidRPr="00225669" w:rsidRDefault="008C05DD" w:rsidP="00137DFE">
      <w:pPr>
        <w:jc w:val="both"/>
        <w:rPr>
          <w:rFonts w:cs="Arial"/>
          <w:snapToGrid w:val="0"/>
        </w:rPr>
      </w:pPr>
    </w:p>
    <w:p w14:paraId="740903F4" w14:textId="1742250D" w:rsidR="008C05DD" w:rsidRPr="00225669" w:rsidRDefault="003537F1" w:rsidP="00137DFE">
      <w:pPr>
        <w:pStyle w:val="Heading2"/>
        <w:rPr>
          <w:rFonts w:ascii="Arial" w:hAnsi="Arial" w:cs="Arial"/>
        </w:rPr>
      </w:pPr>
      <w:bookmarkStart w:id="12" w:name="_Toc311709485"/>
      <w:r w:rsidRPr="00225669">
        <w:rPr>
          <w:rFonts w:ascii="Arial" w:hAnsi="Arial" w:cs="Arial"/>
        </w:rPr>
        <w:t>P</w:t>
      </w:r>
      <w:r w:rsidR="008D0FCF" w:rsidRPr="00225669">
        <w:rPr>
          <w:rFonts w:ascii="Arial" w:hAnsi="Arial" w:cs="Arial"/>
        </w:rPr>
        <w:t xml:space="preserve">etroleum and </w:t>
      </w:r>
      <w:r w:rsidR="00BA43CF" w:rsidRPr="00225669">
        <w:rPr>
          <w:rFonts w:ascii="Arial" w:hAnsi="Arial" w:cs="Arial"/>
        </w:rPr>
        <w:t>R</w:t>
      </w:r>
      <w:r w:rsidR="008D0FCF" w:rsidRPr="00225669">
        <w:rPr>
          <w:rFonts w:ascii="Arial" w:hAnsi="Arial" w:cs="Arial"/>
        </w:rPr>
        <w:t xml:space="preserve">evenue </w:t>
      </w:r>
      <w:r w:rsidR="00BA43CF" w:rsidRPr="00225669">
        <w:rPr>
          <w:rFonts w:ascii="Arial" w:hAnsi="Arial" w:cs="Arial"/>
        </w:rPr>
        <w:t xml:space="preserve">Sharing </w:t>
      </w:r>
      <w:r w:rsidR="008D0FCF" w:rsidRPr="00225669">
        <w:rPr>
          <w:rFonts w:ascii="Arial" w:hAnsi="Arial" w:cs="Arial"/>
        </w:rPr>
        <w:t>in Nigeria</w:t>
      </w:r>
      <w:bookmarkEnd w:id="12"/>
    </w:p>
    <w:p w14:paraId="6131B01B" w14:textId="5C5C2014" w:rsidR="00856B4F" w:rsidRPr="00225669" w:rsidRDefault="003537F1" w:rsidP="00137DFE">
      <w:pPr>
        <w:jc w:val="both"/>
        <w:rPr>
          <w:rFonts w:cs="Arial"/>
          <w:snapToGrid w:val="0"/>
        </w:rPr>
      </w:pPr>
      <w:r w:rsidRPr="00225669">
        <w:rPr>
          <w:rFonts w:cs="Arial"/>
          <w:snapToGrid w:val="0"/>
        </w:rPr>
        <w:t>By law, the Nigerian state owns all mineral deposits in Nigeria, including crude oil. This ownership is established through a series of statutes that govern the petroleum industry, dating to the colonial period. Revenues from petroleum, which come mainly from sales of oil and gas, petroleum profit tax, royalties, signature bonuses, concession rentals and gas flaring penalties are swept into a Federation Account, which is established by the Constitution. The formula for distributing revenue from petroleum among the Federal, State and Local tiers of government, as well as other agencies, is based on the Constitution and other extant laws. The distribution of petroleum revenues has continued to nettle communities in the Niger Delta, as they often feel cheated. A Supreme Court ruling in April 2002 that gave control of offshore petroleum deposits to the Federal Government, further reducing revenue accruable to oil-producing States, increased the feeling of deprivation in the region.</w:t>
      </w:r>
      <w:r w:rsidR="00856B4F" w:rsidRPr="00225669">
        <w:rPr>
          <w:rStyle w:val="FootnoteReference"/>
          <w:rFonts w:cs="Arial"/>
          <w:snapToGrid w:val="0"/>
        </w:rPr>
        <w:footnoteReference w:id="16"/>
      </w:r>
    </w:p>
    <w:p w14:paraId="698BBA5B" w14:textId="77777777" w:rsidR="006F7054" w:rsidRPr="00225669" w:rsidRDefault="006F7054" w:rsidP="00137DFE">
      <w:pPr>
        <w:jc w:val="both"/>
        <w:rPr>
          <w:rFonts w:cs="Arial"/>
        </w:rPr>
      </w:pPr>
    </w:p>
    <w:p w14:paraId="5A3D5BE8" w14:textId="7EC6A2C2" w:rsidR="006F7054" w:rsidRPr="00225669" w:rsidRDefault="003537F1" w:rsidP="00137DFE">
      <w:pPr>
        <w:pStyle w:val="BlockText"/>
        <w:tabs>
          <w:tab w:val="left" w:pos="720"/>
        </w:tabs>
        <w:ind w:left="0" w:right="0"/>
        <w:rPr>
          <w:rFonts w:ascii="Arial" w:hAnsi="Arial" w:cs="Arial"/>
          <w:sz w:val="24"/>
          <w:lang w:val="en-GB"/>
        </w:rPr>
      </w:pPr>
      <w:r w:rsidRPr="00225669">
        <w:rPr>
          <w:rFonts w:ascii="Arial" w:hAnsi="Arial" w:cs="Arial"/>
          <w:sz w:val="24"/>
          <w:lang w:val="en-GB"/>
        </w:rPr>
        <w:t xml:space="preserve">Shell </w:t>
      </w:r>
      <w:r w:rsidR="006F7054" w:rsidRPr="00225669">
        <w:rPr>
          <w:rFonts w:ascii="Arial" w:hAnsi="Arial" w:cs="Arial"/>
          <w:sz w:val="24"/>
          <w:lang w:val="en-GB"/>
        </w:rPr>
        <w:t xml:space="preserve">is </w:t>
      </w:r>
      <w:r w:rsidRPr="00225669">
        <w:rPr>
          <w:rFonts w:ascii="Arial" w:hAnsi="Arial" w:cs="Arial"/>
          <w:sz w:val="24"/>
          <w:lang w:val="en-GB"/>
        </w:rPr>
        <w:t xml:space="preserve">the largest oil producer in Nigeria. Inevitably, its dominance of the industry and the centrality of petroleum in Nigeria’s political economy have brought Shell, and indeed other multinational oil companies, very close to ruling governments in Nigeria. By the same token, the ill will of communities arising from widespread feeling of </w:t>
      </w:r>
      <w:r w:rsidR="009E23A6" w:rsidRPr="00225669">
        <w:rPr>
          <w:rFonts w:ascii="Arial" w:hAnsi="Arial" w:cs="Arial"/>
          <w:sz w:val="24"/>
          <w:lang w:val="en-GB"/>
        </w:rPr>
        <w:t>deprivation has also characteris</w:t>
      </w:r>
      <w:r w:rsidRPr="00225669">
        <w:rPr>
          <w:rFonts w:ascii="Arial" w:hAnsi="Arial" w:cs="Arial"/>
          <w:sz w:val="24"/>
          <w:lang w:val="en-GB"/>
        </w:rPr>
        <w:t xml:space="preserve">ed the relationship between communities and oil companies. This was particularly pronounced during </w:t>
      </w:r>
      <w:r w:rsidR="006F7054" w:rsidRPr="00225669">
        <w:rPr>
          <w:rFonts w:ascii="Arial" w:hAnsi="Arial" w:cs="Arial"/>
          <w:sz w:val="24"/>
          <w:lang w:val="en-GB"/>
        </w:rPr>
        <w:t xml:space="preserve">the period of </w:t>
      </w:r>
      <w:r w:rsidRPr="00225669">
        <w:rPr>
          <w:rFonts w:ascii="Arial" w:hAnsi="Arial" w:cs="Arial"/>
          <w:sz w:val="24"/>
          <w:lang w:val="en-GB"/>
        </w:rPr>
        <w:t xml:space="preserve">military rule when the regimes used extremely coercive means against restive communities in a bid to counter threats to oil production. </w:t>
      </w:r>
    </w:p>
    <w:p w14:paraId="1C605F91" w14:textId="77777777" w:rsidR="006F7054" w:rsidRPr="00225669" w:rsidRDefault="006F7054" w:rsidP="00137DFE">
      <w:pPr>
        <w:pStyle w:val="BlockText"/>
        <w:tabs>
          <w:tab w:val="left" w:pos="720"/>
        </w:tabs>
        <w:ind w:left="0" w:right="0"/>
        <w:rPr>
          <w:rFonts w:ascii="Arial" w:hAnsi="Arial" w:cs="Arial"/>
          <w:sz w:val="24"/>
          <w:lang w:val="en-GB"/>
        </w:rPr>
      </w:pPr>
    </w:p>
    <w:p w14:paraId="726BA279" w14:textId="7EFBC924" w:rsidR="003537F1" w:rsidRPr="00225669" w:rsidRDefault="003537F1" w:rsidP="00137DFE">
      <w:pPr>
        <w:pStyle w:val="BlockText"/>
        <w:tabs>
          <w:tab w:val="left" w:pos="720"/>
        </w:tabs>
        <w:ind w:left="0" w:right="0"/>
        <w:rPr>
          <w:rFonts w:ascii="Arial" w:hAnsi="Arial" w:cs="Arial"/>
          <w:sz w:val="24"/>
          <w:lang w:val="en-GB"/>
        </w:rPr>
      </w:pPr>
      <w:r w:rsidRPr="00225669">
        <w:rPr>
          <w:rFonts w:ascii="Arial" w:hAnsi="Arial" w:cs="Arial"/>
          <w:sz w:val="24"/>
          <w:lang w:val="en-GB"/>
        </w:rPr>
        <w:t xml:space="preserve">Since the inauguration of a civilian government in May 1999, there have been various attempts by both </w:t>
      </w:r>
      <w:r w:rsidR="006F7054" w:rsidRPr="00225669">
        <w:rPr>
          <w:rFonts w:ascii="Arial" w:hAnsi="Arial" w:cs="Arial"/>
          <w:sz w:val="24"/>
          <w:lang w:val="en-GB"/>
        </w:rPr>
        <w:t xml:space="preserve">the </w:t>
      </w:r>
      <w:r w:rsidRPr="00225669">
        <w:rPr>
          <w:rFonts w:ascii="Arial" w:hAnsi="Arial" w:cs="Arial"/>
          <w:sz w:val="24"/>
          <w:lang w:val="en-GB"/>
        </w:rPr>
        <w:t xml:space="preserve">government and </w:t>
      </w:r>
      <w:r w:rsidR="006F7054" w:rsidRPr="00225669">
        <w:rPr>
          <w:rFonts w:ascii="Arial" w:hAnsi="Arial" w:cs="Arial"/>
          <w:sz w:val="24"/>
          <w:lang w:val="en-GB"/>
        </w:rPr>
        <w:t xml:space="preserve">the </w:t>
      </w:r>
      <w:r w:rsidRPr="00225669">
        <w:rPr>
          <w:rFonts w:ascii="Arial" w:hAnsi="Arial" w:cs="Arial"/>
          <w:sz w:val="24"/>
          <w:lang w:val="en-GB"/>
        </w:rPr>
        <w:t>oil companies to redress the socio-economic and environmental damages of the military period. Particularly, the government established the Niger Delta Development Commission (NDDC) to replace the military-established Oil Minerals Producing Areas Development Commission (OMPADEC). The NDDC is expected to be the flagship of government development policy in the Niger Delta. However, although progress has been made in the area of human rights violation since the military left power in 1999, social conditions remain dire for a vast majority of people. The level of violence in the region remains quite high and the uneasy relationships among local communities, governments and oil companies persist.</w:t>
      </w:r>
    </w:p>
    <w:p w14:paraId="2644E0BD" w14:textId="77777777" w:rsidR="003537F1" w:rsidRPr="00225669" w:rsidRDefault="003537F1" w:rsidP="00137DFE">
      <w:pPr>
        <w:jc w:val="both"/>
        <w:rPr>
          <w:rFonts w:cs="Arial"/>
        </w:rPr>
      </w:pPr>
    </w:p>
    <w:p w14:paraId="3B6E71FA" w14:textId="68FCD032" w:rsidR="008202AA" w:rsidRPr="00225669" w:rsidRDefault="008D0FCF" w:rsidP="00137DFE">
      <w:pPr>
        <w:jc w:val="both"/>
        <w:rPr>
          <w:rFonts w:cs="Arial"/>
        </w:rPr>
      </w:pPr>
      <w:r w:rsidRPr="00225669">
        <w:rPr>
          <w:rFonts w:cs="Arial"/>
        </w:rPr>
        <w:t>In Nigeria, the historical context in which petroleum production and governance of the revenues accruing from it</w:t>
      </w:r>
      <w:r w:rsidR="00856B4F" w:rsidRPr="00225669">
        <w:rPr>
          <w:rFonts w:cs="Arial"/>
        </w:rPr>
        <w:t xml:space="preserve"> </w:t>
      </w:r>
      <w:r w:rsidRPr="00225669">
        <w:rPr>
          <w:rFonts w:cs="Arial"/>
        </w:rPr>
        <w:t xml:space="preserve">presents a varied and intriguing trajectory. </w:t>
      </w:r>
      <w:r w:rsidR="008202AA" w:rsidRPr="00225669">
        <w:rPr>
          <w:rFonts w:cs="Arial"/>
        </w:rPr>
        <w:t>Four</w:t>
      </w:r>
      <w:r w:rsidR="0048197B" w:rsidRPr="00225669">
        <w:rPr>
          <w:rFonts w:cs="Arial"/>
        </w:rPr>
        <w:t xml:space="preserve"> </w:t>
      </w:r>
      <w:r w:rsidR="003537F1" w:rsidRPr="00225669">
        <w:rPr>
          <w:rFonts w:cs="Arial"/>
        </w:rPr>
        <w:t xml:space="preserve">phases or </w:t>
      </w:r>
      <w:r w:rsidR="0048197B" w:rsidRPr="00225669">
        <w:rPr>
          <w:rFonts w:cs="Arial"/>
        </w:rPr>
        <w:t>eras</w:t>
      </w:r>
      <w:r w:rsidR="003537F1" w:rsidRPr="00225669">
        <w:rPr>
          <w:rFonts w:cs="Arial"/>
        </w:rPr>
        <w:t xml:space="preserve"> standout in </w:t>
      </w:r>
      <w:r w:rsidRPr="00225669">
        <w:rPr>
          <w:rFonts w:cs="Arial"/>
        </w:rPr>
        <w:t>tracing the development trajectory of Nigeria’s petro-state,</w:t>
      </w:r>
    </w:p>
    <w:p w14:paraId="171749F5" w14:textId="77777777" w:rsidR="008202AA" w:rsidRPr="00225669" w:rsidRDefault="008202AA" w:rsidP="00137DFE">
      <w:pPr>
        <w:spacing w:line="360" w:lineRule="auto"/>
        <w:jc w:val="both"/>
        <w:rPr>
          <w:rFonts w:cs="Arial"/>
        </w:rPr>
      </w:pPr>
    </w:p>
    <w:p w14:paraId="737CF014" w14:textId="77777777" w:rsidR="00730059" w:rsidRPr="00225669" w:rsidRDefault="008202AA" w:rsidP="004C4A79">
      <w:pPr>
        <w:pStyle w:val="Heading3"/>
      </w:pPr>
      <w:bookmarkStart w:id="13" w:name="_Toc311709486"/>
      <w:r w:rsidRPr="00225669">
        <w:t xml:space="preserve">The Colonial </w:t>
      </w:r>
      <w:r w:rsidR="00503748" w:rsidRPr="00225669">
        <w:t>Era</w:t>
      </w:r>
      <w:bookmarkEnd w:id="13"/>
    </w:p>
    <w:p w14:paraId="1B131253" w14:textId="7CF3D9F5" w:rsidR="008C05DD" w:rsidRPr="00225669" w:rsidRDefault="008D0FCF" w:rsidP="00137DFE">
      <w:pPr>
        <w:jc w:val="both"/>
        <w:rPr>
          <w:rFonts w:cs="Arial"/>
        </w:rPr>
      </w:pPr>
      <w:r w:rsidRPr="00225669">
        <w:rPr>
          <w:rFonts w:cs="Arial"/>
        </w:rPr>
        <w:t xml:space="preserve">The first stage, which we may call the </w:t>
      </w:r>
      <w:r w:rsidRPr="00225669">
        <w:rPr>
          <w:rFonts w:cs="Arial"/>
          <w:i/>
        </w:rPr>
        <w:t>colonial</w:t>
      </w:r>
      <w:r w:rsidRPr="00225669">
        <w:rPr>
          <w:rFonts w:cs="Arial"/>
        </w:rPr>
        <w:t xml:space="preserve"> stage, dates to the first few years of the 20</w:t>
      </w:r>
      <w:r w:rsidRPr="00225669">
        <w:rPr>
          <w:rFonts w:cs="Arial"/>
          <w:vertAlign w:val="superscript"/>
        </w:rPr>
        <w:t>th</w:t>
      </w:r>
      <w:r w:rsidRPr="00225669">
        <w:rPr>
          <w:rFonts w:cs="Arial"/>
        </w:rPr>
        <w:t xml:space="preserve"> century when petroleum exploration began. Organi</w:t>
      </w:r>
      <w:r w:rsidR="006F7054" w:rsidRPr="00225669">
        <w:rPr>
          <w:rFonts w:cs="Arial"/>
        </w:rPr>
        <w:t>s</w:t>
      </w:r>
      <w:r w:rsidRPr="00225669">
        <w:rPr>
          <w:rFonts w:cs="Arial"/>
        </w:rPr>
        <w:t xml:space="preserve">ed marketing and distribution started around 1907 by a German Company, Nigerian Bitumen Corporation. In 1914, the </w:t>
      </w:r>
      <w:r w:rsidRPr="00225669">
        <w:rPr>
          <w:rFonts w:cs="Arial"/>
          <w:i/>
        </w:rPr>
        <w:t>Colonial Mineral Ordinance</w:t>
      </w:r>
      <w:r w:rsidRPr="00225669">
        <w:rPr>
          <w:rFonts w:cs="Arial"/>
        </w:rPr>
        <w:t xml:space="preserve"> formalized state control of oil exploration, and the colonial state, on the basis of the Ordinance, granted concessions exclusively to British and British-allied companies. Under this arrangement, the Anglo-Dutch group Shell D’Archy (later Shell-BP) got an oil exploration </w:t>
      </w:r>
      <w:r w:rsidR="00FF0DF5" w:rsidRPr="00225669">
        <w:rPr>
          <w:rFonts w:cs="Arial"/>
        </w:rPr>
        <w:t>c</w:t>
      </w:r>
      <w:r w:rsidRPr="00225669">
        <w:rPr>
          <w:rFonts w:cs="Arial"/>
        </w:rPr>
        <w:t>oncession covering the entire 367,000 square miles of Nigeria in 1938. This set the stage for over six decades of dominance of the Nigerian oil economy by Shell (c</w:t>
      </w:r>
      <w:r w:rsidRPr="00225669">
        <w:rPr>
          <w:rFonts w:cs="Arial"/>
          <w:snapToGrid w:val="0"/>
        </w:rPr>
        <w:t>urrently about 50</w:t>
      </w:r>
      <w:r w:rsidR="00FF0DF5" w:rsidRPr="00225669">
        <w:rPr>
          <w:rFonts w:cs="Arial"/>
          <w:snapToGrid w:val="0"/>
        </w:rPr>
        <w:t xml:space="preserve"> percent</w:t>
      </w:r>
      <w:r w:rsidRPr="00225669">
        <w:rPr>
          <w:rFonts w:cs="Arial"/>
          <w:snapToGrid w:val="0"/>
        </w:rPr>
        <w:t xml:space="preserve"> of Nigeria’s total production and about 53</w:t>
      </w:r>
      <w:r w:rsidR="00FF0DF5" w:rsidRPr="00225669">
        <w:rPr>
          <w:rFonts w:cs="Arial"/>
          <w:snapToGrid w:val="0"/>
        </w:rPr>
        <w:t xml:space="preserve"> percent</w:t>
      </w:r>
      <w:r w:rsidRPr="00225669">
        <w:rPr>
          <w:rFonts w:cs="Arial"/>
          <w:snapToGrid w:val="0"/>
        </w:rPr>
        <w:t xml:space="preserve"> of total hydrocarbon reserve base). </w:t>
      </w:r>
      <w:r w:rsidRPr="00225669">
        <w:rPr>
          <w:rFonts w:cs="Arial"/>
        </w:rPr>
        <w:t>In 1956, Shell discovered oil in commercial quantities at Oloibiri, a town in the Niger Delta. The next year, the company ceded 95</w:t>
      </w:r>
      <w:r w:rsidR="00FF0DF5" w:rsidRPr="00225669">
        <w:rPr>
          <w:rFonts w:cs="Arial"/>
        </w:rPr>
        <w:t xml:space="preserve"> percent </w:t>
      </w:r>
      <w:r w:rsidRPr="00225669">
        <w:rPr>
          <w:rFonts w:cs="Arial"/>
        </w:rPr>
        <w:t>of its concession to other non-Nigerian companies, leaving itself prime 16,000 square miles. By February 1958, Nigeria became an oil exporter with a production level of 6,000 barrels per day,</w:t>
      </w:r>
      <w:r w:rsidRPr="00225669">
        <w:rPr>
          <w:rFonts w:cs="Arial"/>
          <w:snapToGrid w:val="0"/>
        </w:rPr>
        <w:t xml:space="preserve"> although it was not until after the 1967-70 Civil War that it became a major producer on a global scale.</w:t>
      </w:r>
      <w:r w:rsidRPr="00225669">
        <w:rPr>
          <w:rFonts w:cs="Arial"/>
        </w:rPr>
        <w:t xml:space="preserve"> A year after Nigeria becam</w:t>
      </w:r>
      <w:r w:rsidR="00286E59" w:rsidRPr="00225669">
        <w:rPr>
          <w:rFonts w:cs="Arial"/>
        </w:rPr>
        <w:t>e an oil exporter, the Federal G</w:t>
      </w:r>
      <w:r w:rsidRPr="00225669">
        <w:rPr>
          <w:rFonts w:cs="Arial"/>
        </w:rPr>
        <w:t xml:space="preserve">overnment </w:t>
      </w:r>
      <w:r w:rsidR="00286E59" w:rsidRPr="00225669">
        <w:rPr>
          <w:rFonts w:cs="Arial"/>
        </w:rPr>
        <w:t xml:space="preserve">of Nigeria </w:t>
      </w:r>
      <w:r w:rsidRPr="00225669">
        <w:rPr>
          <w:rFonts w:cs="Arial"/>
        </w:rPr>
        <w:t xml:space="preserve">sought to take greater control of proceeds of the exports. It passed the 1959 </w:t>
      </w:r>
      <w:r w:rsidRPr="00225669">
        <w:rPr>
          <w:rFonts w:cs="Arial"/>
          <w:i/>
        </w:rPr>
        <w:t>Petroleum Profit Tax Ordinance</w:t>
      </w:r>
      <w:r w:rsidRPr="00225669">
        <w:rPr>
          <w:rFonts w:cs="Arial"/>
        </w:rPr>
        <w:t xml:space="preserve">, which provided for 50/50 profit sharing between government and producers. This marked the early beginnings of a </w:t>
      </w:r>
      <w:r w:rsidRPr="00225669">
        <w:rPr>
          <w:rFonts w:cs="Arial"/>
          <w:i/>
        </w:rPr>
        <w:t>petro-rentier</w:t>
      </w:r>
      <w:r w:rsidRPr="00225669">
        <w:rPr>
          <w:rFonts w:cs="Arial"/>
        </w:rPr>
        <w:t xml:space="preserve"> state. </w:t>
      </w:r>
    </w:p>
    <w:p w14:paraId="45B2B2B9" w14:textId="77777777" w:rsidR="008C05DD" w:rsidRPr="00225669" w:rsidRDefault="008C05DD" w:rsidP="00137DFE">
      <w:pPr>
        <w:jc w:val="both"/>
        <w:rPr>
          <w:rFonts w:cs="Arial"/>
        </w:rPr>
      </w:pPr>
    </w:p>
    <w:p w14:paraId="737F425D" w14:textId="75636070" w:rsidR="00730059" w:rsidRPr="00225669" w:rsidRDefault="008202AA" w:rsidP="004C4A79">
      <w:pPr>
        <w:pStyle w:val="Heading3"/>
      </w:pPr>
      <w:bookmarkStart w:id="14" w:name="_Toc311709487"/>
      <w:r w:rsidRPr="00225669">
        <w:t xml:space="preserve">Immediate </w:t>
      </w:r>
      <w:r w:rsidR="00FF0DF5" w:rsidRPr="00225669">
        <w:t xml:space="preserve">Post-Independence </w:t>
      </w:r>
      <w:r w:rsidR="00503748" w:rsidRPr="00225669">
        <w:t>Era</w:t>
      </w:r>
      <w:bookmarkEnd w:id="14"/>
    </w:p>
    <w:p w14:paraId="77EDBCD7" w14:textId="7C8BD8A5" w:rsidR="0080226C" w:rsidRPr="00225669" w:rsidRDefault="008C05DD" w:rsidP="00137DFE">
      <w:pPr>
        <w:pStyle w:val="BlockText"/>
        <w:tabs>
          <w:tab w:val="left" w:pos="720"/>
        </w:tabs>
        <w:ind w:left="0" w:right="0"/>
        <w:rPr>
          <w:rFonts w:ascii="Arial" w:hAnsi="Arial" w:cs="Arial"/>
          <w:b/>
          <w:sz w:val="24"/>
          <w:szCs w:val="24"/>
          <w:lang w:val="en-GB"/>
        </w:rPr>
      </w:pPr>
      <w:r w:rsidRPr="00225669">
        <w:rPr>
          <w:rFonts w:ascii="Arial" w:hAnsi="Arial" w:cs="Arial"/>
          <w:sz w:val="24"/>
          <w:szCs w:val="24"/>
          <w:lang w:val="en-GB"/>
        </w:rPr>
        <w:t>Petro-politics in the immediate post-independence period began with the question of distribution of petroleum rents between the federal government and the regional governments. The Binn’s revenue allocation report recommended that 50</w:t>
      </w:r>
      <w:r w:rsidR="00FF0DF5" w:rsidRPr="00225669">
        <w:rPr>
          <w:rFonts w:ascii="Arial" w:hAnsi="Arial" w:cs="Arial"/>
          <w:sz w:val="24"/>
          <w:szCs w:val="24"/>
          <w:lang w:val="en-GB"/>
        </w:rPr>
        <w:t xml:space="preserve"> percent </w:t>
      </w:r>
      <w:r w:rsidRPr="00225669">
        <w:rPr>
          <w:rFonts w:ascii="Arial" w:hAnsi="Arial" w:cs="Arial"/>
          <w:sz w:val="24"/>
          <w:szCs w:val="24"/>
          <w:lang w:val="en-GB"/>
        </w:rPr>
        <w:t>be returned to the regions by derivation. In the light of the rapidly rising rents from oil, this potentially put enormous wealth in the hands of the regional governments, particularly the Eastern regional government. It is not surprising that oil became a central issue when the Eastern region attempted to secede to form the independent state of Biafra. Although oil had only a subsidiary role in the outbreak of the civil war that followed, it had more direct role in determining the course and outcome of the war.</w:t>
      </w:r>
      <w:r w:rsidR="0080226C" w:rsidRPr="00225669">
        <w:rPr>
          <w:rStyle w:val="FootnoteReference"/>
          <w:rFonts w:ascii="Arial" w:hAnsi="Arial" w:cs="Arial"/>
          <w:sz w:val="24"/>
          <w:szCs w:val="24"/>
          <w:lang w:val="en-GB"/>
        </w:rPr>
        <w:footnoteReference w:id="17"/>
      </w:r>
      <w:r w:rsidRPr="00225669">
        <w:rPr>
          <w:rFonts w:ascii="Arial" w:hAnsi="Arial" w:cs="Arial"/>
          <w:sz w:val="24"/>
          <w:szCs w:val="24"/>
          <w:lang w:val="en-GB"/>
        </w:rPr>
        <w:t xml:space="preserve"> </w:t>
      </w:r>
      <w:r w:rsidR="00FF0DF5" w:rsidRPr="00225669">
        <w:rPr>
          <w:rFonts w:ascii="Arial" w:hAnsi="Arial" w:cs="Arial"/>
          <w:sz w:val="24"/>
          <w:szCs w:val="24"/>
          <w:lang w:val="en-GB"/>
        </w:rPr>
        <w:t xml:space="preserve"> </w:t>
      </w:r>
      <w:r w:rsidRPr="00225669">
        <w:rPr>
          <w:rFonts w:ascii="Arial" w:hAnsi="Arial" w:cs="Arial"/>
          <w:sz w:val="24"/>
          <w:szCs w:val="24"/>
          <w:lang w:val="en-GB"/>
        </w:rPr>
        <w:t>For instance, the decision of Shell-BP to pay royalties to the Federal side and not to the Biafran side decisively affected the outcome of the war.</w:t>
      </w:r>
    </w:p>
    <w:p w14:paraId="76726A9B" w14:textId="77777777" w:rsidR="0080226C" w:rsidRPr="00225669" w:rsidRDefault="0080226C" w:rsidP="00137DFE">
      <w:pPr>
        <w:pStyle w:val="BlockText"/>
        <w:tabs>
          <w:tab w:val="left" w:pos="720"/>
        </w:tabs>
        <w:ind w:left="0" w:right="0"/>
        <w:rPr>
          <w:rFonts w:ascii="Arial" w:hAnsi="Arial" w:cs="Arial"/>
          <w:b/>
          <w:sz w:val="24"/>
          <w:szCs w:val="24"/>
          <w:lang w:val="en-GB"/>
        </w:rPr>
      </w:pPr>
    </w:p>
    <w:p w14:paraId="7F87D476" w14:textId="054494CF" w:rsidR="0080226C" w:rsidRPr="00225669" w:rsidRDefault="008C05DD" w:rsidP="00137DFE">
      <w:pPr>
        <w:pStyle w:val="BodyText"/>
        <w:tabs>
          <w:tab w:val="left" w:pos="720"/>
        </w:tabs>
        <w:spacing w:before="0" w:after="0"/>
        <w:jc w:val="both"/>
        <w:rPr>
          <w:rFonts w:cs="Arial"/>
          <w:b w:val="0"/>
          <w:sz w:val="24"/>
        </w:rPr>
      </w:pPr>
      <w:r w:rsidRPr="00225669">
        <w:rPr>
          <w:rFonts w:eastAsia="Times New Roman" w:cs="Arial"/>
          <w:b w:val="0"/>
          <w:snapToGrid w:val="0"/>
          <w:sz w:val="24"/>
          <w:szCs w:val="20"/>
        </w:rPr>
        <w:t>Oil</w:t>
      </w:r>
      <w:r w:rsidRPr="00225669">
        <w:rPr>
          <w:rFonts w:cs="Arial"/>
          <w:b w:val="0"/>
          <w:sz w:val="24"/>
        </w:rPr>
        <w:t xml:space="preserve"> was also significant in the politics of the war in yet another way namely, the creation of states and redrawing of ethnic boundaries.  On the eve of the civil war, the </w:t>
      </w:r>
      <w:r w:rsidR="00FF0DF5" w:rsidRPr="00225669">
        <w:rPr>
          <w:rFonts w:cs="Arial"/>
          <w:b w:val="0"/>
          <w:sz w:val="24"/>
        </w:rPr>
        <w:t>f</w:t>
      </w:r>
      <w:r w:rsidRPr="00225669">
        <w:rPr>
          <w:rFonts w:cs="Arial"/>
          <w:b w:val="0"/>
          <w:sz w:val="24"/>
        </w:rPr>
        <w:t xml:space="preserve">ederal military government led by Yakubu Gowon changed the administrative structure of the country from four </w:t>
      </w:r>
      <w:r w:rsidR="00FF0DF5" w:rsidRPr="00225669">
        <w:rPr>
          <w:rFonts w:cs="Arial"/>
          <w:b w:val="0"/>
          <w:sz w:val="24"/>
        </w:rPr>
        <w:t>r</w:t>
      </w:r>
      <w:r w:rsidRPr="00225669">
        <w:rPr>
          <w:rFonts w:cs="Arial"/>
          <w:b w:val="0"/>
          <w:sz w:val="24"/>
        </w:rPr>
        <w:t xml:space="preserve">egions to twelve </w:t>
      </w:r>
      <w:r w:rsidR="00FF0DF5" w:rsidRPr="00225669">
        <w:rPr>
          <w:rFonts w:cs="Arial"/>
          <w:b w:val="0"/>
          <w:sz w:val="24"/>
        </w:rPr>
        <w:t>s</w:t>
      </w:r>
      <w:r w:rsidRPr="00225669">
        <w:rPr>
          <w:rFonts w:cs="Arial"/>
          <w:b w:val="0"/>
          <w:sz w:val="24"/>
        </w:rPr>
        <w:t xml:space="preserve">tates, two of these, Rivers and South-East States, catering for minorities in the former Eastern Region. Soon after, in May 1967, the Eastern Region declared itself the State of Biafra with a predominantly Igbo ethnic composition (two-thirds of the official regional population of 66 million) and a number of ethnic minorities including the Efik, Kalabari, Ijaw and Ogoni. The creation of states by the military regime was meant to serve the immediate purpose of undermining support for Biafra. </w:t>
      </w:r>
    </w:p>
    <w:p w14:paraId="68B7824B" w14:textId="77777777" w:rsidR="0080226C" w:rsidRPr="00225669" w:rsidRDefault="0080226C" w:rsidP="00137DFE">
      <w:pPr>
        <w:pStyle w:val="BlockText"/>
        <w:tabs>
          <w:tab w:val="left" w:pos="720"/>
        </w:tabs>
        <w:ind w:left="0" w:right="0"/>
        <w:contextualSpacing/>
        <w:rPr>
          <w:rFonts w:ascii="Arial" w:hAnsi="Arial" w:cs="Arial"/>
          <w:sz w:val="24"/>
          <w:lang w:val="en-GB"/>
        </w:rPr>
      </w:pPr>
    </w:p>
    <w:p w14:paraId="2929FE75" w14:textId="3317FA6D" w:rsidR="008C05DD" w:rsidRPr="00225669" w:rsidRDefault="008C05DD" w:rsidP="00137DFE">
      <w:pPr>
        <w:pStyle w:val="BodyText"/>
        <w:tabs>
          <w:tab w:val="left" w:pos="720"/>
        </w:tabs>
        <w:jc w:val="both"/>
        <w:rPr>
          <w:rFonts w:cs="Arial"/>
          <w:b w:val="0"/>
          <w:spacing w:val="-3"/>
          <w:sz w:val="24"/>
        </w:rPr>
      </w:pPr>
      <w:r w:rsidRPr="00225669">
        <w:rPr>
          <w:rFonts w:cs="Arial"/>
          <w:b w:val="0"/>
          <w:sz w:val="24"/>
        </w:rPr>
        <w:t xml:space="preserve">While undermining the support base of the Biafran secession was the immediate objective of state creation, its long-term goal was oil. State creation and tinkering with ethnic boundaries served the purpose </w:t>
      </w:r>
      <w:r w:rsidR="00FF0DF5" w:rsidRPr="00225669">
        <w:rPr>
          <w:rFonts w:cs="Arial"/>
          <w:b w:val="0"/>
          <w:sz w:val="24"/>
        </w:rPr>
        <w:t>of</w:t>
      </w:r>
      <w:r w:rsidR="00FD63E9" w:rsidRPr="00225669">
        <w:rPr>
          <w:rFonts w:cs="Arial"/>
          <w:b w:val="0"/>
          <w:sz w:val="24"/>
        </w:rPr>
        <w:t xml:space="preserve"> making it a</w:t>
      </w:r>
      <w:r w:rsidRPr="00225669">
        <w:rPr>
          <w:rFonts w:cs="Arial"/>
          <w:b w:val="0"/>
          <w:sz w:val="24"/>
        </w:rPr>
        <w:t xml:space="preserve"> </w:t>
      </w:r>
      <w:r w:rsidR="00FF0DF5" w:rsidRPr="00225669">
        <w:rPr>
          <w:rFonts w:cs="Arial"/>
          <w:b w:val="0"/>
          <w:sz w:val="24"/>
        </w:rPr>
        <w:t xml:space="preserve">resource owned by the </w:t>
      </w:r>
      <w:r w:rsidRPr="00225669">
        <w:rPr>
          <w:rFonts w:cs="Arial"/>
          <w:b w:val="0"/>
          <w:sz w:val="24"/>
        </w:rPr>
        <w:t>ethnic minority</w:t>
      </w:r>
      <w:r w:rsidR="00FD63E9" w:rsidRPr="00225669">
        <w:rPr>
          <w:rFonts w:cs="Arial"/>
          <w:b w:val="0"/>
          <w:sz w:val="24"/>
        </w:rPr>
        <w:t>;</w:t>
      </w:r>
      <w:r w:rsidRPr="00225669">
        <w:rPr>
          <w:rFonts w:cs="Arial"/>
          <w:b w:val="0"/>
          <w:sz w:val="24"/>
        </w:rPr>
        <w:t xml:space="preserve"> </w:t>
      </w:r>
      <w:r w:rsidR="00FD63E9" w:rsidRPr="00225669">
        <w:rPr>
          <w:rFonts w:cs="Arial"/>
          <w:b w:val="0"/>
          <w:spacing w:val="-3"/>
          <w:sz w:val="24"/>
        </w:rPr>
        <w:t>y</w:t>
      </w:r>
      <w:r w:rsidRPr="00225669">
        <w:rPr>
          <w:rFonts w:cs="Arial"/>
          <w:b w:val="0"/>
          <w:spacing w:val="-3"/>
          <w:sz w:val="24"/>
        </w:rPr>
        <w:t>et</w:t>
      </w:r>
      <w:r w:rsidR="00FD63E9" w:rsidRPr="00225669">
        <w:rPr>
          <w:rFonts w:cs="Arial"/>
          <w:b w:val="0"/>
          <w:spacing w:val="-3"/>
          <w:sz w:val="24"/>
        </w:rPr>
        <w:t xml:space="preserve"> it</w:t>
      </w:r>
      <w:r w:rsidRPr="00225669">
        <w:rPr>
          <w:rFonts w:cs="Arial"/>
          <w:b w:val="0"/>
          <w:spacing w:val="-3"/>
          <w:sz w:val="24"/>
        </w:rPr>
        <w:t xml:space="preserve"> did not translate into increased revenue benefits in the post-war era. In spite of their role in swinging the balance in favour of the federal side in the civil war, ethnic minorities of the Delta felt increasingly marginalised by shifts in the system of revenue allocation that progressively de-emphasized the derivation principle and allocated resources on the basis of States. In sum, they felt themselves consistently short-changed in the distribution of oil rents in the post-war period.</w:t>
      </w:r>
    </w:p>
    <w:p w14:paraId="4B139190" w14:textId="77777777" w:rsidR="008C05DD" w:rsidRPr="00225669" w:rsidRDefault="008C05DD" w:rsidP="00137DFE">
      <w:pPr>
        <w:pStyle w:val="BodyText"/>
        <w:tabs>
          <w:tab w:val="left" w:pos="720"/>
        </w:tabs>
        <w:jc w:val="both"/>
        <w:rPr>
          <w:rFonts w:cs="Arial"/>
          <w:b w:val="0"/>
          <w:spacing w:val="-3"/>
        </w:rPr>
      </w:pPr>
    </w:p>
    <w:p w14:paraId="48C430F5" w14:textId="77777777" w:rsidR="00730059" w:rsidRPr="00225669" w:rsidRDefault="008202AA" w:rsidP="004C4A79">
      <w:pPr>
        <w:pStyle w:val="Heading3"/>
      </w:pPr>
      <w:bookmarkStart w:id="15" w:name="_Toc311709488"/>
      <w:r w:rsidRPr="00225669">
        <w:t xml:space="preserve">The Indigenisation </w:t>
      </w:r>
      <w:r w:rsidR="00503748" w:rsidRPr="00225669">
        <w:t>Era</w:t>
      </w:r>
      <w:bookmarkEnd w:id="15"/>
    </w:p>
    <w:p w14:paraId="2996F335" w14:textId="1A7A92F5" w:rsidR="008C05DD" w:rsidRPr="00225669" w:rsidRDefault="008D0FCF" w:rsidP="00137DFE">
      <w:pPr>
        <w:jc w:val="both"/>
        <w:rPr>
          <w:rFonts w:cs="Arial"/>
        </w:rPr>
      </w:pPr>
      <w:r w:rsidRPr="00225669">
        <w:rPr>
          <w:rFonts w:cs="Arial"/>
        </w:rPr>
        <w:t xml:space="preserve">The </w:t>
      </w:r>
      <w:r w:rsidR="00FF0DF5" w:rsidRPr="00225669">
        <w:rPr>
          <w:rFonts w:cs="Arial"/>
        </w:rPr>
        <w:t xml:space="preserve">third era </w:t>
      </w:r>
      <w:r w:rsidRPr="00225669">
        <w:rPr>
          <w:rFonts w:cs="Arial"/>
        </w:rPr>
        <w:t xml:space="preserve">in the genealogy of the Nigerian petro-state, which may be called the </w:t>
      </w:r>
      <w:r w:rsidR="00EE1F53" w:rsidRPr="00225669">
        <w:rPr>
          <w:rFonts w:cs="Arial"/>
          <w:i/>
        </w:rPr>
        <w:t>indigenis</w:t>
      </w:r>
      <w:r w:rsidRPr="00225669">
        <w:rPr>
          <w:rFonts w:cs="Arial"/>
          <w:i/>
        </w:rPr>
        <w:t>ation</w:t>
      </w:r>
      <w:r w:rsidRPr="00225669">
        <w:rPr>
          <w:rFonts w:cs="Arial"/>
        </w:rPr>
        <w:t xml:space="preserve"> stage, began just before the end of the civil war. In 1969, the federal government enacted the </w:t>
      </w:r>
      <w:r w:rsidRPr="00225669">
        <w:rPr>
          <w:rFonts w:cs="Arial"/>
          <w:i/>
        </w:rPr>
        <w:t>Petroleum Act</w:t>
      </w:r>
      <w:r w:rsidRPr="00225669">
        <w:rPr>
          <w:rFonts w:cs="Arial"/>
        </w:rPr>
        <w:t xml:space="preserve">, which among other things abrogated the 1914 Ordinance. The essence of the new act was to establish tighter control of the federal government on oil revenues. The Act imposed OPEC conditions on producers for the first time. In 1971, the government set up the Nigeria National Oil Company (NNOC), which later became Nigeria National Petroleum Corporation (NNPC), and joined OPEC. The declared objective of the government in taking these measures was to maximize the benefits of oil for the country against the increasingly rapine tendencies of multinational oil companies. However, there were suggestions that the government sought to punish Shell-BP for its initial unwillingness to pay oil rents to the federal side during the war. These actions also took place in the context of a military regime buoyed by its successful prosecution of the civil war. The success of the military in prosecuting the civil war under its own direction, rather than that of civil authority, had three consequences that are useful in understanding this phase of the development of the Nigerian petro-state. First, it assured a political future for the military. Second, it strengthened the nationalist rhetoric of the military government. Third, it increasingly made the military government unaccountable to the Nigerian public on how it used oil revenues. </w:t>
      </w:r>
    </w:p>
    <w:p w14:paraId="1EFD07AE" w14:textId="28CEB28D" w:rsidR="008C05DD" w:rsidRPr="00225669" w:rsidRDefault="008C05DD" w:rsidP="00137DFE">
      <w:pPr>
        <w:jc w:val="both"/>
        <w:rPr>
          <w:rFonts w:cs="Arial"/>
        </w:rPr>
      </w:pPr>
    </w:p>
    <w:p w14:paraId="5CA66892" w14:textId="46689A89" w:rsidR="00494647" w:rsidRPr="00225669" w:rsidRDefault="008D0FCF" w:rsidP="00137DFE">
      <w:pPr>
        <w:jc w:val="both"/>
        <w:rPr>
          <w:rFonts w:cs="Arial"/>
        </w:rPr>
      </w:pPr>
      <w:r w:rsidRPr="00225669">
        <w:rPr>
          <w:rFonts w:cs="Arial"/>
        </w:rPr>
        <w:t xml:space="preserve">The crucial period of the </w:t>
      </w:r>
      <w:r w:rsidR="00EE1F53" w:rsidRPr="00225669">
        <w:rPr>
          <w:rFonts w:cs="Arial"/>
          <w:i/>
        </w:rPr>
        <w:t>indigenis</w:t>
      </w:r>
      <w:r w:rsidRPr="00225669">
        <w:rPr>
          <w:rFonts w:cs="Arial"/>
          <w:i/>
        </w:rPr>
        <w:t>ation</w:t>
      </w:r>
      <w:r w:rsidRPr="00225669">
        <w:rPr>
          <w:rFonts w:cs="Arial"/>
        </w:rPr>
        <w:t xml:space="preserve"> stage was 1971 through 1979. During this period, government acquired 60</w:t>
      </w:r>
      <w:r w:rsidR="00991A4B" w:rsidRPr="00225669">
        <w:rPr>
          <w:rFonts w:cs="Arial"/>
        </w:rPr>
        <w:t xml:space="preserve"> percent </w:t>
      </w:r>
      <w:r w:rsidRPr="00225669">
        <w:rPr>
          <w:rFonts w:cs="Arial"/>
        </w:rPr>
        <w:t>equity in the major multinational oil companies and 80</w:t>
      </w:r>
      <w:r w:rsidR="00991A4B" w:rsidRPr="00225669">
        <w:rPr>
          <w:rFonts w:cs="Arial"/>
        </w:rPr>
        <w:t xml:space="preserve"> percent</w:t>
      </w:r>
      <w:r w:rsidR="00EE1F53" w:rsidRPr="00225669">
        <w:rPr>
          <w:rFonts w:cs="Arial"/>
        </w:rPr>
        <w:t xml:space="preserve"> in Shell-BP with the nationalis</w:t>
      </w:r>
      <w:r w:rsidRPr="00225669">
        <w:rPr>
          <w:rFonts w:cs="Arial"/>
        </w:rPr>
        <w:t>ation of BP over the Zimbabwe independence crisis in 1976. Later, the federal government ceded about 45</w:t>
      </w:r>
      <w:r w:rsidR="00991A4B" w:rsidRPr="00225669">
        <w:rPr>
          <w:rFonts w:cs="Arial"/>
        </w:rPr>
        <w:t xml:space="preserve"> percent</w:t>
      </w:r>
      <w:r w:rsidRPr="00225669">
        <w:rPr>
          <w:rFonts w:cs="Arial"/>
        </w:rPr>
        <w:t xml:space="preserve"> of BP to Elf (10</w:t>
      </w:r>
      <w:r w:rsidR="00991A4B" w:rsidRPr="00225669">
        <w:rPr>
          <w:rFonts w:cs="Arial"/>
        </w:rPr>
        <w:t xml:space="preserve"> percent</w:t>
      </w:r>
      <w:r w:rsidRPr="00225669">
        <w:rPr>
          <w:rFonts w:cs="Arial"/>
        </w:rPr>
        <w:t>), AGIP (5</w:t>
      </w:r>
      <w:r w:rsidR="00991A4B" w:rsidRPr="00225669">
        <w:rPr>
          <w:rFonts w:cs="Arial"/>
        </w:rPr>
        <w:t xml:space="preserve"> percent</w:t>
      </w:r>
      <w:r w:rsidRPr="00225669">
        <w:rPr>
          <w:rFonts w:cs="Arial"/>
        </w:rPr>
        <w:t>) and Shell (30</w:t>
      </w:r>
      <w:r w:rsidR="00991A4B" w:rsidRPr="00225669">
        <w:rPr>
          <w:rFonts w:cs="Arial"/>
        </w:rPr>
        <w:t xml:space="preserve"> percent</w:t>
      </w:r>
      <w:r w:rsidRPr="00225669">
        <w:rPr>
          <w:rFonts w:cs="Arial"/>
        </w:rPr>
        <w:t xml:space="preserve">). </w:t>
      </w:r>
      <w:r w:rsidR="00EE1F53" w:rsidRPr="00225669">
        <w:rPr>
          <w:rFonts w:cs="Arial"/>
        </w:rPr>
        <w:t>In the d</w:t>
      </w:r>
      <w:r w:rsidRPr="00225669">
        <w:rPr>
          <w:rFonts w:cs="Arial"/>
        </w:rPr>
        <w:t>ownstream</w:t>
      </w:r>
      <w:r w:rsidR="00EE1F53" w:rsidRPr="00225669">
        <w:rPr>
          <w:rFonts w:cs="Arial"/>
        </w:rPr>
        <w:t xml:space="preserve"> segment of the industry</w:t>
      </w:r>
      <w:r w:rsidRPr="00225669">
        <w:rPr>
          <w:rFonts w:cs="Arial"/>
        </w:rPr>
        <w:t xml:space="preserve">, government took over ESSO (UNIPETROL), BP (AP) and the marketing arm of Shell (National). The </w:t>
      </w:r>
      <w:r w:rsidR="00EE1F53" w:rsidRPr="00225669">
        <w:rPr>
          <w:rFonts w:cs="Arial"/>
          <w:i/>
        </w:rPr>
        <w:t>indigenis</w:t>
      </w:r>
      <w:r w:rsidRPr="00225669">
        <w:rPr>
          <w:rFonts w:cs="Arial"/>
          <w:i/>
        </w:rPr>
        <w:t>ation</w:t>
      </w:r>
      <w:r w:rsidRPr="00225669">
        <w:rPr>
          <w:rFonts w:cs="Arial"/>
        </w:rPr>
        <w:t xml:space="preserve"> period also saw a marked decrease in foreign investment in the sector, with some multinational oil companies even abandoning their Nigerian operations.</w:t>
      </w:r>
    </w:p>
    <w:p w14:paraId="1A872208" w14:textId="77777777" w:rsidR="00494647" w:rsidRPr="00225669" w:rsidRDefault="00494647" w:rsidP="00137DFE">
      <w:pPr>
        <w:jc w:val="both"/>
        <w:rPr>
          <w:rFonts w:cs="Arial"/>
        </w:rPr>
      </w:pPr>
    </w:p>
    <w:p w14:paraId="6C61EF28" w14:textId="54EA3D69" w:rsidR="00991A4B" w:rsidRPr="00225669" w:rsidRDefault="008D0FCF" w:rsidP="00137DFE">
      <w:pPr>
        <w:jc w:val="both"/>
        <w:rPr>
          <w:rFonts w:cs="Arial"/>
        </w:rPr>
      </w:pPr>
      <w:r w:rsidRPr="00225669">
        <w:rPr>
          <w:rFonts w:cs="Arial"/>
        </w:rPr>
        <w:t>This period was also characterized by massive public sector expenditure, ostensibly in support of post-war reconstruction. The First National Development Plan was massively funded, including support for indigenous entrepreneurs to buy into numerous previously foreign-own</w:t>
      </w:r>
      <w:r w:rsidR="00EE1F53" w:rsidRPr="00225669">
        <w:rPr>
          <w:rFonts w:cs="Arial"/>
        </w:rPr>
        <w:t>ed companies under the Indigenis</w:t>
      </w:r>
      <w:r w:rsidRPr="00225669">
        <w:rPr>
          <w:rFonts w:cs="Arial"/>
        </w:rPr>
        <w:t>ation Programme. However, this period also saw an unprecedented rise in corrupt practices by public officials. The cement scandal in which millions of tonnes of cement were imported into the country at exorbitant cost, which congested the sea ports of the country for months, shady deals in foreign exchange and the huge personal wealth accumulated by public officers under the Gowon regime are good illustrations. It is not surprising that when the regime was overthrown in July 1975, all the twelve State Governors and numerous senior federal government officials were found to have corruptly enriched themselves. The new regime led by General Murtala Mohammed also sacked thousands of workers in a massive purge of the public service.</w:t>
      </w:r>
    </w:p>
    <w:p w14:paraId="6699CA08" w14:textId="115E4DE6" w:rsidR="008C05DD" w:rsidRPr="00225669" w:rsidRDefault="008C05DD" w:rsidP="00137DFE">
      <w:pPr>
        <w:jc w:val="both"/>
        <w:rPr>
          <w:rFonts w:cs="Arial"/>
        </w:rPr>
      </w:pPr>
    </w:p>
    <w:p w14:paraId="34E88BBE" w14:textId="77777777" w:rsidR="00730059" w:rsidRPr="00225669" w:rsidRDefault="008202AA" w:rsidP="004C4A79">
      <w:pPr>
        <w:pStyle w:val="Heading3"/>
      </w:pPr>
      <w:bookmarkStart w:id="16" w:name="_Toc311709489"/>
      <w:r w:rsidRPr="00225669">
        <w:t>The Deregulation Stage</w:t>
      </w:r>
      <w:bookmarkEnd w:id="16"/>
    </w:p>
    <w:p w14:paraId="213BAD90" w14:textId="7CBD7638" w:rsidR="00991A4B" w:rsidRPr="00225669" w:rsidRDefault="008D0FCF" w:rsidP="00137DFE">
      <w:pPr>
        <w:jc w:val="both"/>
        <w:rPr>
          <w:rFonts w:cs="Arial"/>
        </w:rPr>
      </w:pPr>
      <w:r w:rsidRPr="00225669">
        <w:rPr>
          <w:rFonts w:cs="Arial"/>
        </w:rPr>
        <w:t xml:space="preserve">The third and final stage in tracing the development of Nigeria’s petro-state, which may be described as the </w:t>
      </w:r>
      <w:r w:rsidRPr="00225669">
        <w:rPr>
          <w:rFonts w:cs="Arial"/>
          <w:i/>
        </w:rPr>
        <w:t xml:space="preserve">deregulation </w:t>
      </w:r>
      <w:r w:rsidRPr="00225669">
        <w:rPr>
          <w:rFonts w:cs="Arial"/>
        </w:rPr>
        <w:t xml:space="preserve">stage, began in the early 1980s. As early as 1977, signs of serious fiscal difficulties were already visible. The outgoing Obasanjo military government at the time enunciated the so-called belt-tightening programme. By 1982, the silhouette had become a very clear picture and the Nigerian economy was already deep into a tailspin. Again, oil rents were at the heart of this. Crude oil revenues fell from </w:t>
      </w:r>
      <w:r w:rsidRPr="00225669">
        <w:rPr>
          <w:rFonts w:cs="Arial"/>
          <w:dstrike/>
        </w:rPr>
        <w:t>N</w:t>
      </w:r>
      <w:r w:rsidRPr="00225669">
        <w:rPr>
          <w:rFonts w:cs="Arial"/>
        </w:rPr>
        <w:t xml:space="preserve">201 million in 1980 to about </w:t>
      </w:r>
      <w:r w:rsidRPr="00225669">
        <w:rPr>
          <w:rFonts w:cs="Arial"/>
          <w:dstrike/>
        </w:rPr>
        <w:t>N</w:t>
      </w:r>
      <w:r w:rsidRPr="00225669">
        <w:rPr>
          <w:rFonts w:cs="Arial"/>
        </w:rPr>
        <w:t>56 million in 1983, triggered by precipitous declines in world crude oil prices. Since public revenues were largely dependent on crude oil exports, the decline set off a serious financial crisis that is clearly expressed in the sudden increase in import of capital, which rose by 280</w:t>
      </w:r>
      <w:r w:rsidR="00991A4B" w:rsidRPr="00225669">
        <w:rPr>
          <w:rFonts w:cs="Arial"/>
        </w:rPr>
        <w:t xml:space="preserve"> percent </w:t>
      </w:r>
      <w:r w:rsidRPr="00225669">
        <w:rPr>
          <w:rFonts w:cs="Arial"/>
        </w:rPr>
        <w:t xml:space="preserve">between 1979 and 1981. In 1983, external debts stood at about </w:t>
      </w:r>
      <w:r w:rsidR="00991A4B" w:rsidRPr="00225669">
        <w:rPr>
          <w:rFonts w:cs="Arial"/>
          <w:dstrike/>
        </w:rPr>
        <w:t>N</w:t>
      </w:r>
      <w:r w:rsidRPr="00225669">
        <w:rPr>
          <w:rFonts w:cs="Arial"/>
        </w:rPr>
        <w:t xml:space="preserve">15 billion, with a </w:t>
      </w:r>
      <w:r w:rsidR="00991A4B" w:rsidRPr="00225669">
        <w:rPr>
          <w:rFonts w:cs="Arial"/>
          <w:dstrike/>
        </w:rPr>
        <w:t>N</w:t>
      </w:r>
      <w:r w:rsidRPr="00225669">
        <w:rPr>
          <w:rFonts w:cs="Arial"/>
        </w:rPr>
        <w:t xml:space="preserve">5 billion backlog of repayments, while internal public debt stood at </w:t>
      </w:r>
      <w:r w:rsidR="00991A4B" w:rsidRPr="00225669">
        <w:rPr>
          <w:rFonts w:cs="Arial"/>
          <w:dstrike/>
        </w:rPr>
        <w:t>N</w:t>
      </w:r>
      <w:r w:rsidRPr="00225669">
        <w:rPr>
          <w:rFonts w:cs="Arial"/>
        </w:rPr>
        <w:t>22 billion.</w:t>
      </w:r>
    </w:p>
    <w:p w14:paraId="4B51824A" w14:textId="77777777" w:rsidR="00991A4B" w:rsidRPr="00225669" w:rsidRDefault="00991A4B" w:rsidP="00137DFE">
      <w:pPr>
        <w:jc w:val="both"/>
        <w:rPr>
          <w:rFonts w:cs="Arial"/>
        </w:rPr>
      </w:pPr>
    </w:p>
    <w:p w14:paraId="5845D502" w14:textId="3E9D4E89" w:rsidR="008C05DD" w:rsidRPr="00225669" w:rsidRDefault="008D0FCF" w:rsidP="00137DFE">
      <w:pPr>
        <w:jc w:val="both"/>
        <w:rPr>
          <w:rFonts w:cs="Arial"/>
        </w:rPr>
      </w:pPr>
      <w:r w:rsidRPr="00225669">
        <w:rPr>
          <w:rFonts w:cs="Arial"/>
        </w:rPr>
        <w:t>Expectedly, the economy virtually collapsed. Industrial capacity utili</w:t>
      </w:r>
      <w:r w:rsidR="00991A4B" w:rsidRPr="00225669">
        <w:rPr>
          <w:rFonts w:cs="Arial"/>
        </w:rPr>
        <w:t>s</w:t>
      </w:r>
      <w:r w:rsidRPr="00225669">
        <w:rPr>
          <w:rFonts w:cs="Arial"/>
        </w:rPr>
        <w:t>ation fell to only about 20</w:t>
      </w:r>
      <w:r w:rsidR="00991A4B" w:rsidRPr="00225669">
        <w:rPr>
          <w:rFonts w:cs="Arial"/>
        </w:rPr>
        <w:t xml:space="preserve"> percent, </w:t>
      </w:r>
      <w:r w:rsidRPr="00225669">
        <w:rPr>
          <w:rFonts w:cs="Arial"/>
        </w:rPr>
        <w:t>there were massive layoffs of workers in the private and public sectors, inflation rose from 7.7</w:t>
      </w:r>
      <w:r w:rsidR="00991A4B" w:rsidRPr="00225669">
        <w:rPr>
          <w:rFonts w:cs="Arial"/>
        </w:rPr>
        <w:t xml:space="preserve"> percent</w:t>
      </w:r>
      <w:r w:rsidRPr="00225669">
        <w:rPr>
          <w:rFonts w:cs="Arial"/>
        </w:rPr>
        <w:t xml:space="preserve"> in 1982 to 23.2</w:t>
      </w:r>
      <w:r w:rsidR="00991A4B" w:rsidRPr="00225669">
        <w:rPr>
          <w:rFonts w:cs="Arial"/>
        </w:rPr>
        <w:t xml:space="preserve"> percent </w:t>
      </w:r>
      <w:r w:rsidRPr="00225669">
        <w:rPr>
          <w:rFonts w:cs="Arial"/>
        </w:rPr>
        <w:t>in 1983, GDP fell by 4.4</w:t>
      </w:r>
      <w:r w:rsidR="00991A4B" w:rsidRPr="00225669">
        <w:rPr>
          <w:rFonts w:cs="Arial"/>
        </w:rPr>
        <w:t xml:space="preserve"> percent</w:t>
      </w:r>
      <w:r w:rsidRPr="00225669">
        <w:rPr>
          <w:rFonts w:cs="Arial"/>
        </w:rPr>
        <w:t xml:space="preserve"> in 1983 and GDP per capita fell from $960 in 1980 to about $300 in 1987. The civilian government at the time under President Shehu Shagari tried to absolve itself by attributing these difficulties to the slump in world oil prices. The</w:t>
      </w:r>
      <w:r w:rsidR="00DA2174" w:rsidRPr="00225669">
        <w:rPr>
          <w:rFonts w:cs="Arial"/>
        </w:rPr>
        <w:t xml:space="preserve"> </w:t>
      </w:r>
      <w:r w:rsidR="00494647" w:rsidRPr="00225669">
        <w:rPr>
          <w:rFonts w:cs="Arial"/>
        </w:rPr>
        <w:t>I</w:t>
      </w:r>
      <w:r w:rsidRPr="00225669">
        <w:rPr>
          <w:rFonts w:cs="Arial"/>
        </w:rPr>
        <w:t xml:space="preserve">nternational </w:t>
      </w:r>
      <w:r w:rsidR="00494647" w:rsidRPr="00225669">
        <w:rPr>
          <w:rFonts w:cs="Arial"/>
        </w:rPr>
        <w:t>F</w:t>
      </w:r>
      <w:r w:rsidRPr="00225669">
        <w:rPr>
          <w:rFonts w:cs="Arial"/>
        </w:rPr>
        <w:t xml:space="preserve">inancial </w:t>
      </w:r>
      <w:r w:rsidR="00494647" w:rsidRPr="00225669">
        <w:rPr>
          <w:rFonts w:cs="Arial"/>
        </w:rPr>
        <w:t>I</w:t>
      </w:r>
      <w:r w:rsidRPr="00225669">
        <w:rPr>
          <w:rFonts w:cs="Arial"/>
        </w:rPr>
        <w:t>nstitutions (IFIs) blamed it on structural imbalances in the economy (read: state involvement in the economy). However, the fiscal crisis was the sum effect of a deep-seated Dutch disease which meant Nigeria’s inability over the years to creatively use oil money to develop the industrial sector and in tandem neglected the agricultural sector of the economy, which sustained the country before crude oil exports became dominant.</w:t>
      </w:r>
      <w:r w:rsidRPr="00225669">
        <w:rPr>
          <w:rStyle w:val="FootnoteReference"/>
          <w:rFonts w:cs="Arial"/>
        </w:rPr>
        <w:footnoteReference w:id="18"/>
      </w:r>
      <w:r w:rsidRPr="00225669">
        <w:rPr>
          <w:rFonts w:cs="Arial"/>
        </w:rPr>
        <w:t xml:space="preserve"> </w:t>
      </w:r>
      <w:r w:rsidR="00991A4B" w:rsidRPr="00225669">
        <w:rPr>
          <w:rFonts w:cs="Arial"/>
        </w:rPr>
        <w:t xml:space="preserve"> </w:t>
      </w:r>
      <w:r w:rsidRPr="00225669">
        <w:rPr>
          <w:rFonts w:cs="Arial"/>
        </w:rPr>
        <w:t xml:space="preserve">Biting fiscal crisis, pressure from IFIs, growing domestic discontent and decline in foreign investment in the oil sector, a reprisal for policies of the </w:t>
      </w:r>
      <w:r w:rsidRPr="00225669">
        <w:rPr>
          <w:rFonts w:cs="Arial"/>
          <w:i/>
        </w:rPr>
        <w:t>indigeni</w:t>
      </w:r>
      <w:r w:rsidR="00EE1F53" w:rsidRPr="00225669">
        <w:rPr>
          <w:rFonts w:cs="Arial"/>
          <w:i/>
        </w:rPr>
        <w:t>s</w:t>
      </w:r>
      <w:r w:rsidRPr="00225669">
        <w:rPr>
          <w:rFonts w:cs="Arial"/>
          <w:i/>
        </w:rPr>
        <w:t>ation</w:t>
      </w:r>
      <w:r w:rsidRPr="00225669">
        <w:rPr>
          <w:rFonts w:cs="Arial"/>
        </w:rPr>
        <w:t xml:space="preserve"> period, led to parti</w:t>
      </w:r>
      <w:r w:rsidR="00EE1F53" w:rsidRPr="00225669">
        <w:rPr>
          <w:rFonts w:cs="Arial"/>
        </w:rPr>
        <w:t>al deregulation and commercialis</w:t>
      </w:r>
      <w:r w:rsidRPr="00225669">
        <w:rPr>
          <w:rFonts w:cs="Arial"/>
        </w:rPr>
        <w:t>ation of various operations of the Nigeria National Petroleum Corporation (NNPC).  As part of this, the NNPC was commerciali</w:t>
      </w:r>
      <w:r w:rsidR="00991A4B" w:rsidRPr="00225669">
        <w:rPr>
          <w:rFonts w:cs="Arial"/>
        </w:rPr>
        <w:t>s</w:t>
      </w:r>
      <w:r w:rsidRPr="00225669">
        <w:rPr>
          <w:rFonts w:cs="Arial"/>
        </w:rPr>
        <w:t>ed in 1988 with the creation of 11 subsidiaries.</w:t>
      </w:r>
      <w:r w:rsidRPr="00225669">
        <w:rPr>
          <w:rStyle w:val="FootnoteReference"/>
          <w:rFonts w:cs="Arial"/>
        </w:rPr>
        <w:footnoteReference w:id="19"/>
      </w:r>
      <w:r w:rsidRPr="00225669">
        <w:rPr>
          <w:rFonts w:cs="Arial"/>
        </w:rPr>
        <w:t xml:space="preserve"> </w:t>
      </w:r>
      <w:r w:rsidR="00991A4B" w:rsidRPr="00225669">
        <w:rPr>
          <w:rFonts w:cs="Arial"/>
        </w:rPr>
        <w:t xml:space="preserve"> </w:t>
      </w:r>
      <w:r w:rsidRPr="00225669">
        <w:rPr>
          <w:rFonts w:cs="Arial"/>
        </w:rPr>
        <w:t>And in an attempt to woo the big oil companies, government also offered them new favourable Memoranda of Understanding (MOUs) in 1986 and 1991 dealing with production sharing with the NNPC. Still, persistent inability of government to meet its payment in the joint ventures (cash calls) with the oil majors and inability of NNPC to compete with them led to increased dependence on multinationals. Today, there is talk about comp</w:t>
      </w:r>
      <w:r w:rsidR="00991A4B" w:rsidRPr="00225669">
        <w:rPr>
          <w:rFonts w:cs="Arial"/>
        </w:rPr>
        <w:t>l</w:t>
      </w:r>
      <w:r w:rsidRPr="00225669">
        <w:rPr>
          <w:rFonts w:cs="Arial"/>
        </w:rPr>
        <w:t>ete deregulation of the industry and selling</w:t>
      </w:r>
      <w:r w:rsidR="000C13BE" w:rsidRPr="00225669">
        <w:rPr>
          <w:rFonts w:cs="Arial"/>
        </w:rPr>
        <w:t xml:space="preserve"> of NNPC. An attempt to privatis</w:t>
      </w:r>
      <w:r w:rsidRPr="00225669">
        <w:rPr>
          <w:rFonts w:cs="Arial"/>
        </w:rPr>
        <w:t xml:space="preserve">e the NNPC-owned refineries triggered a strike by petroleum sector workers in August 2002. </w:t>
      </w:r>
    </w:p>
    <w:p w14:paraId="0A099787" w14:textId="77777777" w:rsidR="008C05DD" w:rsidRPr="00225669" w:rsidRDefault="008C05DD" w:rsidP="00137DFE">
      <w:pPr>
        <w:jc w:val="both"/>
        <w:rPr>
          <w:rFonts w:cs="Arial"/>
        </w:rPr>
      </w:pPr>
    </w:p>
    <w:p w14:paraId="5645B232" w14:textId="45A443C9" w:rsidR="00DA2174" w:rsidRPr="00225669" w:rsidRDefault="008D0FCF" w:rsidP="00137DFE">
      <w:pPr>
        <w:jc w:val="both"/>
        <w:rPr>
          <w:rFonts w:cs="Arial"/>
        </w:rPr>
      </w:pPr>
      <w:r w:rsidRPr="00225669">
        <w:rPr>
          <w:rFonts w:cs="Arial"/>
        </w:rPr>
        <w:t xml:space="preserve">An important aspect of the </w:t>
      </w:r>
      <w:r w:rsidRPr="00225669">
        <w:rPr>
          <w:rFonts w:cs="Arial"/>
          <w:i/>
        </w:rPr>
        <w:t>deregulation</w:t>
      </w:r>
      <w:r w:rsidRPr="00225669">
        <w:rPr>
          <w:rFonts w:cs="Arial"/>
        </w:rPr>
        <w:t xml:space="preserve"> stage is the search for other sources of petroleum rent. Gas became the obvious focus. Hitherto, Nigeria’s huge reserves were flared as associated gas in the drilling of crude oil. In 1982, the ten major oil companies operating in the country including Shell, Gulf, Mobil, Agip and Texaco flared about 13.4 billion cubic metres of gas, representing over 92</w:t>
      </w:r>
      <w:r w:rsidR="00144797" w:rsidRPr="00225669">
        <w:rPr>
          <w:rFonts w:cs="Arial"/>
        </w:rPr>
        <w:t xml:space="preserve"> percent </w:t>
      </w:r>
      <w:r w:rsidRPr="00225669">
        <w:rPr>
          <w:rFonts w:cs="Arial"/>
        </w:rPr>
        <w:t>of all gas produced. Both the environmental and economic consequences of gas flaring are dire. In 1997, gas flaring was thought to release 35 million tonnes of carbon dioxide and 12 million tonnes of methane into the Nigerian atmosphere. On the economic side, the quantity of gas flared in 1982 was approximately the equivalent of 280,000 barrels of crude oil per day. That would have shored up the declining revenues from crude oil export by about 25</w:t>
      </w:r>
      <w:r w:rsidR="00833F0C" w:rsidRPr="00225669">
        <w:rPr>
          <w:rFonts w:cs="Arial"/>
        </w:rPr>
        <w:t xml:space="preserve"> percent. </w:t>
      </w:r>
      <w:r w:rsidRPr="00225669">
        <w:rPr>
          <w:rFonts w:cs="Arial"/>
        </w:rPr>
        <w:t>These considerations led to the establishment of the Nigeria Liquefied Natural Gas (NLNG) project in the Niger Delta, which started production in late 1999. The project entails the purchase of natural gas from producers by the NLNG. The company then transports it over about 200 kilometres of dedicated pipelines into a plant at Finnima on the Bonny Island. There, the gas is processed into liquefied natural gas and exported. The project is a joint venture between NNPC (49%), Shell (25.6%), Elf (15%) and Agip (10.4%).</w:t>
      </w:r>
      <w:r w:rsidRPr="00225669">
        <w:rPr>
          <w:rStyle w:val="FootnoteReference"/>
          <w:rFonts w:cs="Arial"/>
        </w:rPr>
        <w:footnoteReference w:id="20"/>
      </w:r>
    </w:p>
    <w:p w14:paraId="1BAC0EE7" w14:textId="77777777" w:rsidR="00DA2174" w:rsidRPr="00225669" w:rsidRDefault="00DA2174" w:rsidP="00137DFE">
      <w:pPr>
        <w:jc w:val="both"/>
        <w:rPr>
          <w:rFonts w:cs="Arial"/>
          <w:sz w:val="20"/>
        </w:rPr>
      </w:pPr>
    </w:p>
    <w:p w14:paraId="6BCF8505" w14:textId="5A60F0DF" w:rsidR="00833F0C" w:rsidRPr="00225669" w:rsidRDefault="000C13BE" w:rsidP="00137DFE">
      <w:pPr>
        <w:pStyle w:val="BodyText2"/>
        <w:spacing w:after="0" w:line="240" w:lineRule="auto"/>
        <w:jc w:val="both"/>
        <w:rPr>
          <w:rFonts w:cs="Arial"/>
        </w:rPr>
      </w:pPr>
      <w:r w:rsidRPr="00225669">
        <w:rPr>
          <w:rFonts w:cs="Arial"/>
        </w:rPr>
        <w:t>Finally, d</w:t>
      </w:r>
      <w:r w:rsidR="008D0FCF" w:rsidRPr="00225669">
        <w:rPr>
          <w:rFonts w:cs="Arial"/>
        </w:rPr>
        <w:t xml:space="preserve">uring the preceding stage of </w:t>
      </w:r>
      <w:r w:rsidR="00833F0C" w:rsidRPr="00225669">
        <w:rPr>
          <w:rFonts w:cs="Arial"/>
          <w:i/>
        </w:rPr>
        <w:t>indigenisation,</w:t>
      </w:r>
      <w:r w:rsidR="008D0FCF" w:rsidRPr="00225669">
        <w:rPr>
          <w:rFonts w:cs="Arial"/>
        </w:rPr>
        <w:t xml:space="preserve"> there was increased access of the indigenous elite to petrodollars and a phenomenal rise in their standard of living through access to the state and increased involvement in downstream activities in the oil industry. Much of this was reversed in the </w:t>
      </w:r>
      <w:r w:rsidR="008D0FCF" w:rsidRPr="00225669">
        <w:rPr>
          <w:rFonts w:cs="Arial"/>
          <w:i/>
        </w:rPr>
        <w:t>deregulation</w:t>
      </w:r>
      <w:r w:rsidR="008D0FCF" w:rsidRPr="00225669">
        <w:rPr>
          <w:rFonts w:cs="Arial"/>
        </w:rPr>
        <w:t xml:space="preserve"> phase because as the fiscal crisis deepened, access to the state and to petrodollars contracted, especially for those not associated with the ruling military and ethnic circles. As the excluded middle class became increasingly pauperized, just like the bulk of the underclass, they began to champion new social and environmental causes. This was particularly so in the oil producing areas, notably the Niger Delta, because of the social and environmental devastation arising from oil extraction.</w:t>
      </w:r>
    </w:p>
    <w:p w14:paraId="53A8B4C1" w14:textId="4CB2E974" w:rsidR="008C05DD" w:rsidRPr="00225669" w:rsidRDefault="008C05DD" w:rsidP="00137DFE">
      <w:pPr>
        <w:pStyle w:val="BodyText2"/>
        <w:spacing w:after="0" w:line="240" w:lineRule="auto"/>
        <w:jc w:val="both"/>
        <w:rPr>
          <w:rFonts w:cs="Arial"/>
        </w:rPr>
      </w:pPr>
    </w:p>
    <w:p w14:paraId="0A2B2336" w14:textId="17F208E9" w:rsidR="008C05DD" w:rsidRPr="00225669" w:rsidRDefault="008C05DD" w:rsidP="00137DFE">
      <w:pPr>
        <w:pStyle w:val="Heading2"/>
        <w:rPr>
          <w:rFonts w:ascii="Arial" w:hAnsi="Arial" w:cs="Arial"/>
        </w:rPr>
      </w:pPr>
      <w:bookmarkStart w:id="17" w:name="_Toc311709490"/>
      <w:r w:rsidRPr="00225669">
        <w:rPr>
          <w:rFonts w:ascii="Arial" w:hAnsi="Arial" w:cs="Arial"/>
        </w:rPr>
        <w:t xml:space="preserve">Production </w:t>
      </w:r>
      <w:r w:rsidR="00833F0C" w:rsidRPr="00225669">
        <w:rPr>
          <w:rFonts w:ascii="Arial" w:hAnsi="Arial" w:cs="Arial"/>
        </w:rPr>
        <w:t xml:space="preserve">and Revenue Profiles of </w:t>
      </w:r>
      <w:r w:rsidRPr="00225669">
        <w:rPr>
          <w:rFonts w:ascii="Arial" w:hAnsi="Arial" w:cs="Arial"/>
        </w:rPr>
        <w:t xml:space="preserve">Nigeria’s </w:t>
      </w:r>
      <w:r w:rsidR="00833F0C" w:rsidRPr="00225669">
        <w:rPr>
          <w:rFonts w:ascii="Arial" w:hAnsi="Arial" w:cs="Arial"/>
        </w:rPr>
        <w:t>Oil Industry</w:t>
      </w:r>
      <w:bookmarkEnd w:id="17"/>
    </w:p>
    <w:p w14:paraId="11896EB8" w14:textId="7925876D" w:rsidR="00E237A3" w:rsidRPr="00225669" w:rsidRDefault="008D0FCF" w:rsidP="00137DFE">
      <w:pPr>
        <w:pStyle w:val="BodyText"/>
        <w:spacing w:before="0" w:after="0"/>
        <w:contextualSpacing/>
        <w:jc w:val="both"/>
        <w:rPr>
          <w:rFonts w:cs="Arial"/>
          <w:b w:val="0"/>
          <w:sz w:val="24"/>
        </w:rPr>
      </w:pPr>
      <w:r w:rsidRPr="00225669">
        <w:rPr>
          <w:rFonts w:cs="Arial"/>
          <w:b w:val="0"/>
          <w:sz w:val="24"/>
        </w:rPr>
        <w:t>It is in the context of the deregulation phase that the current profile of the industry is to be located. The Joint Venture approach to production, which was the fallout of the indigeni</w:t>
      </w:r>
      <w:r w:rsidR="00833F0C" w:rsidRPr="00225669">
        <w:rPr>
          <w:rFonts w:cs="Arial"/>
          <w:b w:val="0"/>
          <w:sz w:val="24"/>
        </w:rPr>
        <w:t>s</w:t>
      </w:r>
      <w:r w:rsidRPr="00225669">
        <w:rPr>
          <w:rFonts w:cs="Arial"/>
          <w:b w:val="0"/>
          <w:sz w:val="24"/>
        </w:rPr>
        <w:t>ation period, offered the foreign oil companies a means of protecting their investments by ensuring that the Nigerian state had enough stake in the ventures. However, it also meant that the Nigerian state took on increased financial burden, having settled for 60</w:t>
      </w:r>
      <w:r w:rsidR="00833F0C" w:rsidRPr="00225669">
        <w:rPr>
          <w:rFonts w:cs="Arial"/>
          <w:b w:val="0"/>
          <w:sz w:val="24"/>
        </w:rPr>
        <w:t xml:space="preserve"> percent </w:t>
      </w:r>
      <w:r w:rsidRPr="00225669">
        <w:rPr>
          <w:rFonts w:cs="Arial"/>
          <w:b w:val="0"/>
          <w:sz w:val="24"/>
        </w:rPr>
        <w:t xml:space="preserve">equity across board in the JVs. Consequently, the Joint Venture Cash Calls became a major financial outflow. Indeed, between 2009 and 2011, the cash calls paid by NNPC to JV partners amounted to about $8.8 billion. </w:t>
      </w:r>
    </w:p>
    <w:p w14:paraId="6F670C53" w14:textId="77777777" w:rsidR="00E237A3" w:rsidRPr="00225669" w:rsidRDefault="00E237A3" w:rsidP="00137DFE">
      <w:pPr>
        <w:pStyle w:val="BodyText"/>
        <w:spacing w:before="0" w:after="0"/>
        <w:contextualSpacing/>
        <w:jc w:val="both"/>
        <w:rPr>
          <w:rFonts w:cs="Arial"/>
          <w:b w:val="0"/>
          <w:sz w:val="24"/>
        </w:rPr>
      </w:pPr>
    </w:p>
    <w:p w14:paraId="1CE75EAA" w14:textId="222C7431" w:rsidR="00E237A3" w:rsidRPr="00225669" w:rsidRDefault="00E237A3" w:rsidP="00137DFE">
      <w:pPr>
        <w:pStyle w:val="BodyText"/>
        <w:spacing w:before="0" w:after="0"/>
        <w:contextualSpacing/>
        <w:jc w:val="both"/>
        <w:rPr>
          <w:rFonts w:cs="Arial"/>
          <w:b w:val="0"/>
          <w:sz w:val="24"/>
        </w:rPr>
      </w:pPr>
      <w:r w:rsidRPr="00225669">
        <w:rPr>
          <w:rFonts w:cs="Arial"/>
          <w:b w:val="0"/>
          <w:sz w:val="24"/>
        </w:rPr>
        <w:t>A</w:t>
      </w:r>
      <w:r w:rsidR="008D0FCF" w:rsidRPr="00225669">
        <w:rPr>
          <w:rFonts w:cs="Arial"/>
          <w:b w:val="0"/>
          <w:sz w:val="24"/>
        </w:rPr>
        <w:t>s the cash calls mounted in the face of declining revenues, the Nigerian government sought other forms of production relations with multinational oil companies. The government settled for the Production Sharing Contract (PSC), which ostensibly would reduce cash calls and increase Nigeria’s reserves by transferring exploration risks and funding to the oil companies. PSCs define the percentage of production that the company operating a well and the host country will get after the operating company has recovered a specified part of its costs and expenses. In addition, two other production relations have also emerged in more recent times namely, Sole Risk Production, which focuses on marginal fields and Service Contracts.</w:t>
      </w:r>
    </w:p>
    <w:p w14:paraId="4530D17B" w14:textId="77777777" w:rsidR="008C05DD" w:rsidRPr="00225669" w:rsidRDefault="008C05DD" w:rsidP="00137DFE">
      <w:pPr>
        <w:jc w:val="both"/>
        <w:rPr>
          <w:rFonts w:cs="Arial"/>
        </w:rPr>
      </w:pPr>
    </w:p>
    <w:p w14:paraId="69F1F3B5" w14:textId="66A9AB96" w:rsidR="00AF1D81" w:rsidRPr="00225669" w:rsidRDefault="008D0FCF" w:rsidP="00137DFE">
      <w:pPr>
        <w:jc w:val="both"/>
        <w:rPr>
          <w:rFonts w:cs="Arial"/>
        </w:rPr>
      </w:pPr>
      <w:r w:rsidRPr="00225669">
        <w:rPr>
          <w:rFonts w:cs="Arial"/>
        </w:rPr>
        <w:t>In the last five years, there have been several demands to fundamentally restructure the petroleum industry in Nigeria. The laws governing the sector were regarded as archaic, too foreign oriented and stifling of local capacity. However, several attempts to enact a new petroleum industry law have been mired in political calculations, resistance by the oil companies</w:t>
      </w:r>
      <w:r w:rsidR="00646F2A" w:rsidRPr="00225669">
        <w:rPr>
          <w:rFonts w:cs="Arial"/>
        </w:rPr>
        <w:t>,</w:t>
      </w:r>
      <w:r w:rsidRPr="00225669">
        <w:rPr>
          <w:rFonts w:cs="Arial"/>
        </w:rPr>
        <w:t xml:space="preserve"> and sheer incompetence by the authorities driving the process. Part of the demand to restructure the sector has also shifted attention to the low level of involvement of indigenous organi</w:t>
      </w:r>
      <w:r w:rsidR="00646F2A" w:rsidRPr="00225669">
        <w:rPr>
          <w:rFonts w:cs="Arial"/>
        </w:rPr>
        <w:t>s</w:t>
      </w:r>
      <w:r w:rsidRPr="00225669">
        <w:rPr>
          <w:rFonts w:cs="Arial"/>
        </w:rPr>
        <w:t>ations in the petroleum production sectors. Consequently, the Nigerian Oil and Gas Content Development Act 2010 has been in force for about five years, but its effect remains to be seen.</w:t>
      </w:r>
    </w:p>
    <w:p w14:paraId="11F41573" w14:textId="77777777" w:rsidR="00AF1D81" w:rsidRPr="00225669" w:rsidRDefault="00AF1D81" w:rsidP="00137DFE">
      <w:pPr>
        <w:jc w:val="both"/>
        <w:rPr>
          <w:rFonts w:cs="Arial"/>
        </w:rPr>
      </w:pPr>
    </w:p>
    <w:p w14:paraId="11BED792" w14:textId="2FC946CD" w:rsidR="00AF1D81" w:rsidRPr="00225669" w:rsidRDefault="008D0FCF" w:rsidP="00137DFE">
      <w:pPr>
        <w:jc w:val="both"/>
        <w:rPr>
          <w:rFonts w:cs="Arial"/>
        </w:rPr>
      </w:pPr>
      <w:r w:rsidRPr="00225669">
        <w:rPr>
          <w:rFonts w:cs="Arial"/>
        </w:rPr>
        <w:t xml:space="preserve">The calls for more local involvement in oil and gas in Nigeria stems largely from the fact that the amount of crude oil produced by Nigeria and the revenue accruing from it has for many years been a jealously guarded secret by oil companies and governments. There can be little doubt that this is not unconnected with the recent history of military rule during which government became very secretive and the military high command extremely suspicious of the Nigerian public, especially in the Niger Delta. But perhaps more importantly is the business ethic of international </w:t>
      </w:r>
      <w:r w:rsidRPr="00225669">
        <w:rPr>
          <w:rFonts w:cs="Arial"/>
          <w:i/>
          <w:iCs/>
        </w:rPr>
        <w:t>petrobusiness</w:t>
      </w:r>
      <w:r w:rsidRPr="00225669">
        <w:rPr>
          <w:rFonts w:cs="Arial"/>
        </w:rPr>
        <w:t xml:space="preserve">, which is famed for secrecy. With the return of Nigeria to civilian rule in 1999 and in the context of a global movement to pressure </w:t>
      </w:r>
      <w:r w:rsidRPr="00225669">
        <w:rPr>
          <w:rFonts w:cs="Arial"/>
          <w:i/>
          <w:iCs/>
        </w:rPr>
        <w:t>petrobusiness</w:t>
      </w:r>
      <w:r w:rsidRPr="00225669">
        <w:rPr>
          <w:rFonts w:cs="Arial"/>
        </w:rPr>
        <w:t xml:space="preserve"> to be more accountable and open in its dealings, especially in underdeveloped countries, there is now more information flow on oil revenue governance in Nigeria. One of the driving forces in this petro-Glasnost is the Nigerian Extractive Industries Transparency Initiative</w:t>
      </w:r>
      <w:r w:rsidR="00023132" w:rsidRPr="00225669">
        <w:rPr>
          <w:rFonts w:cs="Arial"/>
        </w:rPr>
        <w:t xml:space="preserve"> (NEITI)</w:t>
      </w:r>
      <w:r w:rsidRPr="00225669">
        <w:rPr>
          <w:rFonts w:cs="Arial"/>
        </w:rPr>
        <w:t>, which links government, donor agencies and civil society organi</w:t>
      </w:r>
      <w:r w:rsidR="00646F2A" w:rsidRPr="00225669">
        <w:rPr>
          <w:rFonts w:cs="Arial"/>
        </w:rPr>
        <w:t>s</w:t>
      </w:r>
      <w:r w:rsidRPr="00225669">
        <w:rPr>
          <w:rFonts w:cs="Arial"/>
        </w:rPr>
        <w:t>ations. The publication of the Hart Report, which is an audit of oil production and revenues for 2003 and 2004, is unprecedented in the history of petroleum revenue governance in Nigeria. Since then, reports by NEITI have become a good source for understanding revenue flows in the industry.</w:t>
      </w:r>
    </w:p>
    <w:p w14:paraId="6160A8D8" w14:textId="77777777" w:rsidR="00AF1D81" w:rsidRPr="00225669" w:rsidRDefault="00AF1D81" w:rsidP="00137DFE">
      <w:pPr>
        <w:jc w:val="both"/>
        <w:rPr>
          <w:rFonts w:cs="Arial"/>
        </w:rPr>
      </w:pPr>
    </w:p>
    <w:p w14:paraId="650FF898" w14:textId="4DC3516A" w:rsidR="00AF1D81" w:rsidRPr="00225669" w:rsidRDefault="00646F2A" w:rsidP="00137DFE">
      <w:pPr>
        <w:jc w:val="both"/>
        <w:rPr>
          <w:rFonts w:cs="Arial"/>
        </w:rPr>
      </w:pPr>
      <w:r w:rsidRPr="00225669">
        <w:rPr>
          <w:rFonts w:cs="Arial"/>
        </w:rPr>
        <w:t>S</w:t>
      </w:r>
      <w:r w:rsidR="008D0FCF" w:rsidRPr="00225669">
        <w:rPr>
          <w:rFonts w:cs="Arial"/>
        </w:rPr>
        <w:t>ince 1960, Nigeria has produced over 30 billion barrels of crude oil, a good part of it from the Niger Delta in the vicinity of homes, farmlands and fishing waters with all its implications for livelihoods and social life generally. This excludes billions of cubic metres of gas either collected for export or flared in huge fireworks across the Niger Delta, with over 86 billion cubic metres produced and 10.7 billion cubic metres flared in 2014 alone.</w:t>
      </w:r>
    </w:p>
    <w:p w14:paraId="7DAF92D2" w14:textId="77777777" w:rsidR="008F6706" w:rsidRPr="00225669" w:rsidRDefault="008F6706" w:rsidP="00137DFE">
      <w:pPr>
        <w:tabs>
          <w:tab w:val="left" w:pos="0"/>
        </w:tabs>
        <w:jc w:val="both"/>
        <w:rPr>
          <w:rFonts w:cs="Arial"/>
        </w:rPr>
      </w:pPr>
    </w:p>
    <w:p w14:paraId="53A088B6" w14:textId="7F3CF0C9" w:rsidR="008F6706" w:rsidRPr="00225669" w:rsidRDefault="008F6706" w:rsidP="00137DFE">
      <w:pPr>
        <w:pStyle w:val="Heading2"/>
        <w:rPr>
          <w:rFonts w:ascii="Arial" w:hAnsi="Arial" w:cs="Arial"/>
        </w:rPr>
      </w:pPr>
      <w:bookmarkStart w:id="18" w:name="_Toc311709491"/>
      <w:r w:rsidRPr="00225669">
        <w:rPr>
          <w:rFonts w:ascii="Arial" w:hAnsi="Arial" w:cs="Arial"/>
        </w:rPr>
        <w:t xml:space="preserve">Pressure for Derivation </w:t>
      </w:r>
      <w:r w:rsidR="004265CA" w:rsidRPr="00225669">
        <w:rPr>
          <w:rFonts w:ascii="Arial" w:hAnsi="Arial" w:cs="Arial"/>
        </w:rPr>
        <w:t>P</w:t>
      </w:r>
      <w:r w:rsidRPr="00225669">
        <w:rPr>
          <w:rFonts w:ascii="Arial" w:hAnsi="Arial" w:cs="Arial"/>
        </w:rPr>
        <w:t xml:space="preserve">rinciple in </w:t>
      </w:r>
      <w:r w:rsidR="004265CA" w:rsidRPr="00225669">
        <w:rPr>
          <w:rFonts w:ascii="Arial" w:hAnsi="Arial" w:cs="Arial"/>
        </w:rPr>
        <w:t>R</w:t>
      </w:r>
      <w:r w:rsidRPr="00225669">
        <w:rPr>
          <w:rFonts w:ascii="Arial" w:hAnsi="Arial" w:cs="Arial"/>
        </w:rPr>
        <w:t xml:space="preserve">evenue </w:t>
      </w:r>
      <w:r w:rsidR="004265CA" w:rsidRPr="00225669">
        <w:rPr>
          <w:rFonts w:ascii="Arial" w:hAnsi="Arial" w:cs="Arial"/>
        </w:rPr>
        <w:t>S</w:t>
      </w:r>
      <w:r w:rsidRPr="00225669">
        <w:rPr>
          <w:rFonts w:ascii="Arial" w:hAnsi="Arial" w:cs="Arial"/>
        </w:rPr>
        <w:t>haring</w:t>
      </w:r>
      <w:bookmarkEnd w:id="18"/>
    </w:p>
    <w:p w14:paraId="7E1156D6" w14:textId="3A2DDF6C" w:rsidR="001704DC" w:rsidRPr="00225669" w:rsidRDefault="008D0FCF" w:rsidP="00137DFE">
      <w:pPr>
        <w:tabs>
          <w:tab w:val="left" w:pos="0"/>
        </w:tabs>
        <w:jc w:val="both"/>
        <w:rPr>
          <w:rFonts w:cs="Arial"/>
        </w:rPr>
      </w:pPr>
      <w:r w:rsidRPr="00225669">
        <w:rPr>
          <w:rFonts w:cs="Arial"/>
        </w:rPr>
        <w:t xml:space="preserve">Ironically, the tendency in Nigeria, especially among government officials and oil companies, is to look at these huge production figures exclusively in terms of dollar signs and never in terms of their danger signs. This has been the case both under military rule and civilian government. Isolated internationally and pressured locally to democratise, successive military regimes intensified exploitation of natural resources, essentially petroleum, to fund repression and corruption, thereby massively destroying the environment of the Niger Delta. </w:t>
      </w:r>
      <w:r w:rsidRPr="00225669">
        <w:rPr>
          <w:rFonts w:cs="Arial"/>
          <w:i/>
        </w:rPr>
        <w:t>Petrobusiness</w:t>
      </w:r>
      <w:r w:rsidRPr="00225669">
        <w:rPr>
          <w:rFonts w:cs="Arial"/>
        </w:rPr>
        <w:t xml:space="preserve"> became central to the security of military regimes, yet the military perniciously portrayed financing regime survival from sale of crude oil as a matter of national security. Return to democratic government raised hopes of redressing the environmental and social damages of military rule. Yet, there is still scepticism in government circles about the wisdom of mainstreaming the environment in public policy in the post-military era. The suggestion is that environmental issues could undermine the government’s resource base and increase conflicts and insecurity. Consequently, crude oil production is still only seen in terms of revenue.</w:t>
      </w:r>
    </w:p>
    <w:p w14:paraId="7A3D3A96" w14:textId="77777777" w:rsidR="001704DC" w:rsidRPr="00225669" w:rsidRDefault="001704DC" w:rsidP="00137DFE">
      <w:pPr>
        <w:tabs>
          <w:tab w:val="left" w:pos="0"/>
        </w:tabs>
        <w:jc w:val="both"/>
        <w:rPr>
          <w:rFonts w:cs="Arial"/>
        </w:rPr>
      </w:pPr>
    </w:p>
    <w:p w14:paraId="29873FAD" w14:textId="5917235A" w:rsidR="00646F2A" w:rsidRPr="00225669" w:rsidRDefault="008D0FCF" w:rsidP="00137DFE">
      <w:pPr>
        <w:tabs>
          <w:tab w:val="left" w:pos="0"/>
        </w:tabs>
        <w:jc w:val="both"/>
        <w:rPr>
          <w:rFonts w:cs="Arial"/>
        </w:rPr>
      </w:pPr>
      <w:r w:rsidRPr="00225669">
        <w:rPr>
          <w:rFonts w:cs="Arial"/>
        </w:rPr>
        <w:t xml:space="preserve">It is not surprising that with such enormous sums of money going into government coffers, the politics of its generation and sharing will be intense in an economy that is totally dependent on petroleum. Indeed, the politics of oil revenue generation and sharing, which is expressed in the so-called resource control struggles, has remained a major source of acrimony in Nigeria since petroleum became the principal source of state revenue in the 1970s. </w:t>
      </w:r>
    </w:p>
    <w:p w14:paraId="29F9744D" w14:textId="77777777" w:rsidR="00646F2A" w:rsidRPr="00225669" w:rsidRDefault="00646F2A" w:rsidP="00137DFE">
      <w:pPr>
        <w:tabs>
          <w:tab w:val="left" w:pos="0"/>
        </w:tabs>
        <w:jc w:val="both"/>
        <w:rPr>
          <w:rFonts w:cs="Arial"/>
        </w:rPr>
      </w:pPr>
    </w:p>
    <w:p w14:paraId="6E8A211B" w14:textId="607306B0" w:rsidR="001704DC" w:rsidRPr="00225669" w:rsidRDefault="008D0FCF" w:rsidP="00137DFE">
      <w:pPr>
        <w:tabs>
          <w:tab w:val="left" w:pos="0"/>
        </w:tabs>
        <w:jc w:val="both"/>
        <w:rPr>
          <w:rFonts w:cs="Arial"/>
        </w:rPr>
      </w:pPr>
      <w:r w:rsidRPr="00225669">
        <w:rPr>
          <w:rFonts w:cs="Arial"/>
        </w:rPr>
        <w:t>To be sure, the contentious politics of sharing national revenue has been a major issue in Nigerian federalism, dating back to the last few years of colonial rule. Between 1946 and 1999</w:t>
      </w:r>
      <w:r w:rsidR="001704DC" w:rsidRPr="00225669">
        <w:rPr>
          <w:rFonts w:cs="Arial"/>
        </w:rPr>
        <w:t xml:space="preserve">, </w:t>
      </w:r>
      <w:r w:rsidRPr="00225669">
        <w:rPr>
          <w:rFonts w:cs="Arial"/>
        </w:rPr>
        <w:t>17 different revenue sharing formulas have been employed in sharing centrally collected revenue. Yet, none of them has satisfied all the cleavages. The history of raucous revenue sharing in Nigeria could be traced to 1946 when Governor Arthur Richards as part of his Constitutional reforms asked Sir Sidney Phillipson to study and make recommendations regarding the administrative and financial procedures to be used under the imminent Constitution. What emerged was a system in which although the central government lost some of its previous fiscal powers, it remained financially dominant vis-à-vis the Regions. The Centre retained considerable powers over tax revenues and distribution of revenues among the regions was based exclusively on derivation. The Phillipson era was followed by the Hicks-Phillipson formula, which immediately preceded the introduction of the Macpherson Constitution in 1951. It gave the regions powers to impose specific taxes, while distribution among the regions was based on the principles of independent revenue efforts and derivation. The Sir Louis Chick Commission recommendations led to a rap</w:t>
      </w:r>
      <w:r w:rsidR="00ED51EE" w:rsidRPr="00225669">
        <w:rPr>
          <w:rFonts w:cs="Arial"/>
        </w:rPr>
        <w:t>id process of fiscal decentralis</w:t>
      </w:r>
      <w:r w:rsidRPr="00225669">
        <w:rPr>
          <w:rFonts w:cs="Arial"/>
        </w:rPr>
        <w:t xml:space="preserve">ation. It </w:t>
      </w:r>
      <w:r w:rsidR="00ED51EE" w:rsidRPr="00225669">
        <w:rPr>
          <w:rFonts w:cs="Arial"/>
        </w:rPr>
        <w:t xml:space="preserve">did </w:t>
      </w:r>
      <w:r w:rsidRPr="00225669">
        <w:rPr>
          <w:rFonts w:cs="Arial"/>
        </w:rPr>
        <w:t xml:space="preserve">not only increase regional fiscal autonomy considerably, but it also placed emphasis on derivation as the main principle. </w:t>
      </w:r>
    </w:p>
    <w:p w14:paraId="4424E81E" w14:textId="77777777" w:rsidR="001704DC" w:rsidRPr="00225669" w:rsidRDefault="001704DC" w:rsidP="00137DFE">
      <w:pPr>
        <w:tabs>
          <w:tab w:val="left" w:pos="0"/>
        </w:tabs>
        <w:jc w:val="both"/>
        <w:rPr>
          <w:rFonts w:cs="Arial"/>
        </w:rPr>
      </w:pPr>
    </w:p>
    <w:p w14:paraId="0872AB30" w14:textId="569C4E71" w:rsidR="00F82588" w:rsidRPr="00225669" w:rsidRDefault="008D0FCF" w:rsidP="00137DFE">
      <w:pPr>
        <w:tabs>
          <w:tab w:val="left" w:pos="0"/>
        </w:tabs>
        <w:jc w:val="both"/>
        <w:rPr>
          <w:rFonts w:cs="Arial"/>
        </w:rPr>
      </w:pPr>
      <w:r w:rsidRPr="00225669">
        <w:rPr>
          <w:rFonts w:cs="Arial"/>
        </w:rPr>
        <w:t>The derivation principle, which defines the current tumultuous debates over resource control in Nigeria, remained central in revenue allocation through the immediate post independence period. But the politics of derivation changed dramatically with the advent of pe</w:t>
      </w:r>
      <w:r w:rsidR="00ED51EE" w:rsidRPr="00225669">
        <w:rPr>
          <w:rFonts w:cs="Arial"/>
        </w:rPr>
        <w:t>troleum export and centralis</w:t>
      </w:r>
      <w:r w:rsidRPr="00225669">
        <w:rPr>
          <w:rFonts w:cs="Arial"/>
        </w:rPr>
        <w:t>ation of petroleu</w:t>
      </w:r>
      <w:r w:rsidR="00ED51EE" w:rsidRPr="00225669">
        <w:rPr>
          <w:rFonts w:cs="Arial"/>
        </w:rPr>
        <w:t>m revenues. Initially, centralis</w:t>
      </w:r>
      <w:r w:rsidRPr="00225669">
        <w:rPr>
          <w:rFonts w:cs="Arial"/>
        </w:rPr>
        <w:t>ation of petroleum revenues was used as a means of breaking the stranglehold of the very powerful three Regions, each controlled overwhelmingly by an ethnic group.</w:t>
      </w:r>
      <w:r w:rsidRPr="00225669">
        <w:rPr>
          <w:rStyle w:val="FootnoteReference"/>
          <w:rFonts w:cs="Arial"/>
        </w:rPr>
        <w:footnoteReference w:id="21"/>
      </w:r>
      <w:r w:rsidRPr="00225669">
        <w:rPr>
          <w:rFonts w:cs="Arial"/>
        </w:rPr>
        <w:t xml:space="preserve"> </w:t>
      </w:r>
      <w:r w:rsidR="00A41C5A" w:rsidRPr="00225669">
        <w:rPr>
          <w:rFonts w:cs="Arial"/>
        </w:rPr>
        <w:t xml:space="preserve"> </w:t>
      </w:r>
      <w:r w:rsidRPr="00225669">
        <w:rPr>
          <w:rFonts w:cs="Arial"/>
        </w:rPr>
        <w:t>As we have already seen, it was particularly crucial in the case of the Eastern Region where the bulk of the country’s crude oil and gas deposits was located, and even more so following the attempt of the Region to secede from the Federation as the independent State of Biafra between 1967 and 1970. Through successive legislation such as the Petroleum Decree/Act (1969 and 1991), Offshore O</w:t>
      </w:r>
      <w:r w:rsidR="00ED51EE" w:rsidRPr="00225669">
        <w:rPr>
          <w:rFonts w:cs="Arial"/>
        </w:rPr>
        <w:t>il Revenue Decree (1971), Land U</w:t>
      </w:r>
      <w:r w:rsidRPr="00225669">
        <w:rPr>
          <w:rFonts w:cs="Arial"/>
        </w:rPr>
        <w:t>se Decree (1978), Exclusive Economic Zone Decree and the Lands (Title Registry) Decree (1993), the Fed</w:t>
      </w:r>
      <w:r w:rsidR="00ED51EE" w:rsidRPr="00225669">
        <w:rPr>
          <w:rFonts w:cs="Arial"/>
        </w:rPr>
        <w:t>eral G</w:t>
      </w:r>
      <w:r w:rsidRPr="00225669">
        <w:rPr>
          <w:rFonts w:cs="Arial"/>
        </w:rPr>
        <w:t>overnment, especially under the military, gradually but steadily seized control of oil revenues. One consequence of this is that the importance of derivation as a revenue allocation principle declined. Binn’s 1964 recommendations of 50</w:t>
      </w:r>
      <w:r w:rsidR="00A41C5A" w:rsidRPr="00225669">
        <w:rPr>
          <w:rFonts w:cs="Arial"/>
        </w:rPr>
        <w:t xml:space="preserve"> percent </w:t>
      </w:r>
      <w:r w:rsidRPr="00225669">
        <w:rPr>
          <w:rFonts w:cs="Arial"/>
        </w:rPr>
        <w:t>derivation and reduction of Federal share of national revenue by 5</w:t>
      </w:r>
      <w:r w:rsidR="00A41C5A" w:rsidRPr="00225669">
        <w:rPr>
          <w:rFonts w:cs="Arial"/>
        </w:rPr>
        <w:t xml:space="preserve"> percent</w:t>
      </w:r>
      <w:r w:rsidRPr="00225669">
        <w:rPr>
          <w:rFonts w:cs="Arial"/>
        </w:rPr>
        <w:t xml:space="preserve"> would have decisively changed revenue allocation in favour of regions of derivation. However, by Decree 13 of 1970, the Gowon military regime reduced derivation to 30</w:t>
      </w:r>
      <w:r w:rsidR="00A41C5A" w:rsidRPr="00225669">
        <w:rPr>
          <w:rFonts w:cs="Arial"/>
        </w:rPr>
        <w:t xml:space="preserve"> percent</w:t>
      </w:r>
      <w:r w:rsidRPr="00225669">
        <w:rPr>
          <w:rFonts w:cs="Arial"/>
        </w:rPr>
        <w:t>. Subsequently, the Obasanjo military regime</w:t>
      </w:r>
      <w:r w:rsidR="00A41C5A" w:rsidRPr="00225669">
        <w:rPr>
          <w:rFonts w:cs="Arial"/>
        </w:rPr>
        <w:t>,</w:t>
      </w:r>
      <w:r w:rsidR="00ED51EE" w:rsidRPr="00225669">
        <w:rPr>
          <w:rFonts w:cs="Arial"/>
        </w:rPr>
        <w:t xml:space="preserve"> following the 1977 Aboyade T</w:t>
      </w:r>
      <w:r w:rsidRPr="00225669">
        <w:rPr>
          <w:rFonts w:cs="Arial"/>
        </w:rPr>
        <w:t xml:space="preserve">echnical </w:t>
      </w:r>
      <w:r w:rsidR="00ED51EE" w:rsidRPr="00225669">
        <w:rPr>
          <w:rFonts w:cs="Arial"/>
        </w:rPr>
        <w:t>C</w:t>
      </w:r>
      <w:r w:rsidRPr="00225669">
        <w:rPr>
          <w:rFonts w:cs="Arial"/>
        </w:rPr>
        <w:t>ommittee report, further reduced it by 5</w:t>
      </w:r>
      <w:r w:rsidR="00A41C5A" w:rsidRPr="00225669">
        <w:rPr>
          <w:rFonts w:cs="Arial"/>
        </w:rPr>
        <w:t xml:space="preserve"> percent</w:t>
      </w:r>
      <w:r w:rsidRPr="00225669">
        <w:rPr>
          <w:rFonts w:cs="Arial"/>
        </w:rPr>
        <w:t>. Under the military government of General Buhari, derivation was as low as 1.5</w:t>
      </w:r>
      <w:r w:rsidR="00A41C5A" w:rsidRPr="00225669">
        <w:rPr>
          <w:rFonts w:cs="Arial"/>
        </w:rPr>
        <w:t xml:space="preserve"> percent</w:t>
      </w:r>
      <w:r w:rsidRPr="00225669">
        <w:rPr>
          <w:rFonts w:cs="Arial"/>
        </w:rPr>
        <w:t xml:space="preserve"> and was only marginally increased by the Babangida military government in 1992.</w:t>
      </w:r>
    </w:p>
    <w:p w14:paraId="321E178C" w14:textId="77777777" w:rsidR="00F82588" w:rsidRPr="00225669" w:rsidRDefault="00F82588" w:rsidP="00137DFE">
      <w:pPr>
        <w:tabs>
          <w:tab w:val="left" w:pos="0"/>
        </w:tabs>
        <w:jc w:val="both"/>
        <w:rPr>
          <w:rFonts w:cs="Arial"/>
        </w:rPr>
      </w:pPr>
    </w:p>
    <w:p w14:paraId="61B26331" w14:textId="1D6D10C3" w:rsidR="00F82588" w:rsidRPr="00225669" w:rsidRDefault="008D0FCF" w:rsidP="00137DFE">
      <w:pPr>
        <w:tabs>
          <w:tab w:val="left" w:pos="0"/>
        </w:tabs>
        <w:jc w:val="both"/>
        <w:rPr>
          <w:rFonts w:cs="Arial"/>
        </w:rPr>
      </w:pPr>
      <w:r w:rsidRPr="00225669">
        <w:rPr>
          <w:rFonts w:cs="Arial"/>
        </w:rPr>
        <w:t xml:space="preserve">In the twilight of military rule, the issue of derivation in distribution of petroleum revenues took the front burner with unprecedented intensity. The reason for this was the extremely conflictive relations between the military government and </w:t>
      </w:r>
      <w:r w:rsidRPr="00225669">
        <w:rPr>
          <w:rFonts w:cs="Arial"/>
          <w:i/>
          <w:iCs/>
        </w:rPr>
        <w:t>petrobusiness</w:t>
      </w:r>
      <w:r w:rsidRPr="00225669">
        <w:rPr>
          <w:rFonts w:cs="Arial"/>
        </w:rPr>
        <w:t xml:space="preserve"> as its ally, and communities in the Niger Delta over the share of oil revenues that should accrue to communities and the devastation of the environment arising from the activities of </w:t>
      </w:r>
      <w:r w:rsidRPr="00225669">
        <w:rPr>
          <w:rFonts w:cs="Arial"/>
          <w:i/>
        </w:rPr>
        <w:t>petrobusiness</w:t>
      </w:r>
      <w:r w:rsidRPr="00225669">
        <w:rPr>
          <w:rFonts w:cs="Arial"/>
        </w:rPr>
        <w:t>.</w:t>
      </w:r>
      <w:r w:rsidRPr="00225669">
        <w:rPr>
          <w:rStyle w:val="FootnoteReference"/>
          <w:rFonts w:cs="Arial"/>
        </w:rPr>
        <w:footnoteReference w:id="22"/>
      </w:r>
      <w:r w:rsidRPr="00225669">
        <w:rPr>
          <w:rFonts w:cs="Arial"/>
        </w:rPr>
        <w:t xml:space="preserve"> </w:t>
      </w:r>
      <w:r w:rsidR="00A41C5A" w:rsidRPr="00225669">
        <w:rPr>
          <w:rFonts w:cs="Arial"/>
        </w:rPr>
        <w:t xml:space="preserve"> </w:t>
      </w:r>
      <w:r w:rsidRPr="00225669">
        <w:rPr>
          <w:rFonts w:cs="Arial"/>
        </w:rPr>
        <w:t>With return to civilian rule and opening of the political space, the issue of control of petroleum revenues was bound to remain a central question for the new government. It is not surprising that the people of the Niger Delta, initially through civil society organi</w:t>
      </w:r>
      <w:r w:rsidR="00A41C5A" w:rsidRPr="00225669">
        <w:rPr>
          <w:rFonts w:cs="Arial"/>
        </w:rPr>
        <w:t>s</w:t>
      </w:r>
      <w:r w:rsidRPr="00225669">
        <w:rPr>
          <w:rFonts w:cs="Arial"/>
        </w:rPr>
        <w:t>ations</w:t>
      </w:r>
      <w:r w:rsidR="00A41C5A" w:rsidRPr="00225669">
        <w:rPr>
          <w:rFonts w:cs="Arial"/>
        </w:rPr>
        <w:t>,</w:t>
      </w:r>
      <w:r w:rsidRPr="00225669">
        <w:rPr>
          <w:rFonts w:cs="Arial"/>
        </w:rPr>
        <w:t xml:space="preserve"> demanded for a Sovereign National Conference that will have resource control as a major agenda item, and later by the Delta and Bayelsa State governments, insist</w:t>
      </w:r>
      <w:r w:rsidR="00A41C5A" w:rsidRPr="00225669">
        <w:rPr>
          <w:rFonts w:cs="Arial"/>
        </w:rPr>
        <w:t>ed</w:t>
      </w:r>
      <w:r w:rsidRPr="00225669">
        <w:rPr>
          <w:rFonts w:cs="Arial"/>
        </w:rPr>
        <w:t xml:space="preserve"> that Niger Delta peoples through their State governments are entitled to larger shares of oil revenues. Since 1999 they have been pushing for an increase</w:t>
      </w:r>
      <w:r w:rsidR="008C05DD" w:rsidRPr="00225669">
        <w:rPr>
          <w:rFonts w:cs="Arial"/>
        </w:rPr>
        <w:t xml:space="preserve"> in revenue to the Niger Delta from </w:t>
      </w:r>
      <w:r w:rsidRPr="00225669">
        <w:rPr>
          <w:rFonts w:cs="Arial"/>
        </w:rPr>
        <w:t>the 13</w:t>
      </w:r>
      <w:r w:rsidR="00A41C5A" w:rsidRPr="00225669">
        <w:rPr>
          <w:rFonts w:cs="Arial"/>
        </w:rPr>
        <w:t xml:space="preserve"> percent </w:t>
      </w:r>
      <w:r w:rsidRPr="00225669">
        <w:rPr>
          <w:rFonts w:cs="Arial"/>
        </w:rPr>
        <w:t>of resources derived from each State to 50</w:t>
      </w:r>
      <w:r w:rsidR="00A41C5A" w:rsidRPr="00225669">
        <w:rPr>
          <w:rFonts w:cs="Arial"/>
        </w:rPr>
        <w:t xml:space="preserve"> percent</w:t>
      </w:r>
      <w:r w:rsidRPr="00225669">
        <w:rPr>
          <w:rFonts w:cs="Arial"/>
        </w:rPr>
        <w:t>.</w:t>
      </w:r>
      <w:r w:rsidRPr="00225669">
        <w:rPr>
          <w:rStyle w:val="FootnoteReference"/>
          <w:rFonts w:cs="Arial"/>
        </w:rPr>
        <w:footnoteReference w:id="23"/>
      </w:r>
      <w:r w:rsidRPr="00225669">
        <w:rPr>
          <w:rFonts w:cs="Arial"/>
        </w:rPr>
        <w:t xml:space="preserve"> </w:t>
      </w:r>
      <w:r w:rsidR="00A41C5A" w:rsidRPr="00225669">
        <w:rPr>
          <w:rFonts w:cs="Arial"/>
        </w:rPr>
        <w:t xml:space="preserve"> </w:t>
      </w:r>
      <w:r w:rsidRPr="00225669">
        <w:rPr>
          <w:rFonts w:cs="Arial"/>
        </w:rPr>
        <w:t>In response to their demands, resource control antagonists led by the Presidency initially sought to seize all revenues from offshore oil production by excluding such revenues from the calculation of the 13</w:t>
      </w:r>
      <w:r w:rsidR="00A41C5A" w:rsidRPr="00225669">
        <w:rPr>
          <w:rFonts w:cs="Arial"/>
        </w:rPr>
        <w:t xml:space="preserve"> percent</w:t>
      </w:r>
      <w:r w:rsidRPr="00225669">
        <w:rPr>
          <w:rFonts w:cs="Arial"/>
        </w:rPr>
        <w:t xml:space="preserve"> derivation. This move led to the reduction of the revenue of some oil-producing States by as much as 80</w:t>
      </w:r>
      <w:r w:rsidR="00A41C5A" w:rsidRPr="00225669">
        <w:rPr>
          <w:rFonts w:cs="Arial"/>
        </w:rPr>
        <w:t xml:space="preserve"> percent</w:t>
      </w:r>
      <w:r w:rsidRPr="00225669">
        <w:rPr>
          <w:rFonts w:cs="Arial"/>
        </w:rPr>
        <w:t xml:space="preserve">, and so focused the resource control struggle even more sharply. </w:t>
      </w:r>
    </w:p>
    <w:p w14:paraId="1394438B" w14:textId="77777777" w:rsidR="00F82588" w:rsidRPr="00225669" w:rsidRDefault="00F82588" w:rsidP="00137DFE">
      <w:pPr>
        <w:tabs>
          <w:tab w:val="left" w:pos="0"/>
        </w:tabs>
        <w:jc w:val="both"/>
        <w:rPr>
          <w:rFonts w:cs="Arial"/>
        </w:rPr>
      </w:pPr>
    </w:p>
    <w:p w14:paraId="5A232965" w14:textId="0B792AB8" w:rsidR="00F82588" w:rsidRPr="00225669" w:rsidRDefault="008D0FCF" w:rsidP="00137DFE">
      <w:pPr>
        <w:tabs>
          <w:tab w:val="left" w:pos="0"/>
        </w:tabs>
        <w:jc w:val="both"/>
        <w:rPr>
          <w:rFonts w:cs="Arial"/>
        </w:rPr>
      </w:pPr>
      <w:r w:rsidRPr="00225669">
        <w:rPr>
          <w:rFonts w:cs="Arial"/>
        </w:rPr>
        <w:t>On April 9, 2001, the Federal Government went to the Supreme Court asking for clarification of section 162, subsection 2 of the 1999 Constitution. In the suit, the Federal Government asked the Court to declare that petroleum resources in Nigeria’s territorial waters belong to the Federal Government and not to States, and so should not be used to calculate the 13</w:t>
      </w:r>
      <w:r w:rsidR="00A41C5A" w:rsidRPr="00225669">
        <w:rPr>
          <w:rFonts w:cs="Arial"/>
        </w:rPr>
        <w:t xml:space="preserve"> percent</w:t>
      </w:r>
      <w:r w:rsidRPr="00225669">
        <w:rPr>
          <w:rFonts w:cs="Arial"/>
        </w:rPr>
        <w:t xml:space="preserve"> derivation.  In April 2002, the Supreme Court ruled in favour of the Federal Government, drastically cutting revenues to oil-producing States like Akwa-Ibom and Ondo. However, in what appeared like forgiveness of the Niger Delta States by the Federal Government, and a rare act of statesmanship by the country’s leadership, President Obasanjo sent a bill to the National Assembly to abo</w:t>
      </w:r>
      <w:r w:rsidR="00797941" w:rsidRPr="00225669">
        <w:rPr>
          <w:rFonts w:cs="Arial"/>
        </w:rPr>
        <w:t>lish the distinction between on</w:t>
      </w:r>
      <w:r w:rsidRPr="00225669">
        <w:rPr>
          <w:rFonts w:cs="Arial"/>
        </w:rPr>
        <w:t>shore and offshore petroleum revenues in applying the 13</w:t>
      </w:r>
      <w:r w:rsidR="00A41C5A" w:rsidRPr="00225669">
        <w:rPr>
          <w:rFonts w:cs="Arial"/>
        </w:rPr>
        <w:t xml:space="preserve"> percent </w:t>
      </w:r>
      <w:r w:rsidRPr="00225669">
        <w:rPr>
          <w:rFonts w:cs="Arial"/>
        </w:rPr>
        <w:t>derivation principle in revenue sharing. Although the Assembly passed the bill in October 2002, the controversy did not end there. In a sudden twist, the President vetoed the bill by withholding accent to it in December 2002 over the issue of definition of Nigeria’s offshore by the bill. Is it  “contiguous zone” used in the President’s draft bill or “continental shelf” inserted by the National Assembly? Soon, Northern elders led by the Emir of Kano joined the fray, warning Northern members of the National Assembly not to override the President’s veto because abolition of the onshore-offshore dichotomy by the bill meant that fewer resources would go the North. This brought into clear relief the centrality of petro-politics to the survival of the Nigerian ruling class, notwithstanding the rhetoric of equity and justice consistently mouthed by both sides in the resource control struggle. The issue was resolved, though temporarily, when the Act was modified to provide that “200-metre water depth isobath” contiguous to a State will be used for purposes of calculating derivation. But in the latest turn of events, 22 State Governments (19 from the North and 3 from the South West) in August 2004 went to the Supreme Court asking it to nullify the Act.</w:t>
      </w:r>
      <w:r w:rsidRPr="00225669">
        <w:rPr>
          <w:rStyle w:val="FootnoteReference"/>
          <w:rFonts w:cs="Arial"/>
        </w:rPr>
        <w:footnoteReference w:id="24"/>
      </w:r>
    </w:p>
    <w:p w14:paraId="11F7DE29" w14:textId="77777777" w:rsidR="00F82588" w:rsidRPr="00225669" w:rsidRDefault="00F82588" w:rsidP="00137DFE">
      <w:pPr>
        <w:tabs>
          <w:tab w:val="left" w:pos="0"/>
        </w:tabs>
        <w:jc w:val="both"/>
        <w:rPr>
          <w:rFonts w:cs="Arial"/>
        </w:rPr>
      </w:pPr>
    </w:p>
    <w:p w14:paraId="29FFE6D6" w14:textId="4617FE50" w:rsidR="008C05DD" w:rsidRPr="00225669" w:rsidRDefault="008D0FCF" w:rsidP="00137DFE">
      <w:pPr>
        <w:tabs>
          <w:tab w:val="left" w:pos="0"/>
        </w:tabs>
        <w:jc w:val="both"/>
        <w:rPr>
          <w:rFonts w:cs="Arial"/>
        </w:rPr>
      </w:pPr>
      <w:r w:rsidRPr="00225669">
        <w:rPr>
          <w:rFonts w:cs="Arial"/>
        </w:rPr>
        <w:t>It is in this stormy petroleum political economy (</w:t>
      </w:r>
      <w:r w:rsidRPr="00225669">
        <w:rPr>
          <w:rFonts w:cs="Arial"/>
          <w:i/>
        </w:rPr>
        <w:t>petropolec</w:t>
      </w:r>
      <w:r w:rsidRPr="00225669">
        <w:rPr>
          <w:rFonts w:cs="Arial"/>
        </w:rPr>
        <w:t>) that the allocation of funds to the Niger Delta is rooted. A summary of that petropolec is that it has been one characteri</w:t>
      </w:r>
      <w:r w:rsidR="00A41C5A" w:rsidRPr="00225669">
        <w:rPr>
          <w:rFonts w:cs="Arial"/>
        </w:rPr>
        <w:t>s</w:t>
      </w:r>
      <w:r w:rsidRPr="00225669">
        <w:rPr>
          <w:rFonts w:cs="Arial"/>
        </w:rPr>
        <w:t>ed by proliferation of agencies, corruption, as well as poor planning and coordination.</w:t>
      </w:r>
      <w:r w:rsidR="002C0943" w:rsidRPr="00225669">
        <w:rPr>
          <w:rFonts w:cs="Arial"/>
        </w:rPr>
        <w:t xml:space="preserve"> </w:t>
      </w:r>
      <w:r w:rsidRPr="00225669">
        <w:rPr>
          <w:rFonts w:cs="Arial"/>
        </w:rPr>
        <w:t xml:space="preserve">There are no better epitomes of these than four Federal agencies namely, </w:t>
      </w:r>
      <w:r w:rsidR="00A41C5A" w:rsidRPr="00225669">
        <w:rPr>
          <w:rFonts w:cs="Arial"/>
        </w:rPr>
        <w:t xml:space="preserve">Ministry of Niger Delta Affairs, </w:t>
      </w:r>
      <w:r w:rsidRPr="00225669">
        <w:rPr>
          <w:rFonts w:cs="Arial"/>
        </w:rPr>
        <w:t>N</w:t>
      </w:r>
      <w:r w:rsidR="00A41C5A" w:rsidRPr="00225669">
        <w:rPr>
          <w:rFonts w:cs="Arial"/>
        </w:rPr>
        <w:t xml:space="preserve">iger </w:t>
      </w:r>
      <w:r w:rsidRPr="00225669">
        <w:rPr>
          <w:rFonts w:cs="Arial"/>
        </w:rPr>
        <w:t>D</w:t>
      </w:r>
      <w:r w:rsidR="00A41C5A" w:rsidRPr="00225669">
        <w:rPr>
          <w:rFonts w:cs="Arial"/>
        </w:rPr>
        <w:t xml:space="preserve">elta </w:t>
      </w:r>
      <w:r w:rsidRPr="00225669">
        <w:rPr>
          <w:rFonts w:cs="Arial"/>
        </w:rPr>
        <w:t>D</w:t>
      </w:r>
      <w:r w:rsidR="00A41C5A" w:rsidRPr="00225669">
        <w:rPr>
          <w:rFonts w:cs="Arial"/>
        </w:rPr>
        <w:t xml:space="preserve">evelopment </w:t>
      </w:r>
      <w:r w:rsidRPr="00225669">
        <w:rPr>
          <w:rFonts w:cs="Arial"/>
        </w:rPr>
        <w:t>C</w:t>
      </w:r>
      <w:r w:rsidR="00A41C5A" w:rsidRPr="00225669">
        <w:rPr>
          <w:rFonts w:cs="Arial"/>
        </w:rPr>
        <w:t>ommission</w:t>
      </w:r>
      <w:r w:rsidRPr="00225669">
        <w:rPr>
          <w:rFonts w:cs="Arial"/>
        </w:rPr>
        <w:t xml:space="preserve">, </w:t>
      </w:r>
      <w:r w:rsidR="00A41C5A" w:rsidRPr="00225669">
        <w:rPr>
          <w:rFonts w:cs="Arial"/>
        </w:rPr>
        <w:t xml:space="preserve">Presidential </w:t>
      </w:r>
      <w:r w:rsidRPr="00225669">
        <w:rPr>
          <w:rFonts w:cs="Arial"/>
        </w:rPr>
        <w:t xml:space="preserve">Amnesty Programme, </w:t>
      </w:r>
      <w:r w:rsidR="00A41C5A" w:rsidRPr="00225669">
        <w:rPr>
          <w:rFonts w:cs="Arial"/>
        </w:rPr>
        <w:t>and the Hydrocarbon Pollution Restoration Programme.</w:t>
      </w:r>
    </w:p>
    <w:p w14:paraId="5ADD15A1" w14:textId="146AB20A" w:rsidR="002C0943" w:rsidRPr="00225669" w:rsidRDefault="00F82588" w:rsidP="00137DFE">
      <w:pPr>
        <w:pStyle w:val="Heading1"/>
      </w:pPr>
      <w:r w:rsidRPr="00225669">
        <w:br w:type="page"/>
      </w:r>
      <w:bookmarkStart w:id="19" w:name="_Toc311709492"/>
      <w:r w:rsidR="00CB4275" w:rsidRPr="00225669">
        <w:t>Interventionist</w:t>
      </w:r>
      <w:r w:rsidR="00DD3010" w:rsidRPr="00225669">
        <w:t xml:space="preserve"> Agencies and </w:t>
      </w:r>
      <w:r w:rsidR="00F26D47" w:rsidRPr="00225669">
        <w:t>D</w:t>
      </w:r>
      <w:r w:rsidR="00CB4275" w:rsidRPr="00225669">
        <w:t>evelopment</w:t>
      </w:r>
      <w:r w:rsidR="00DD3010" w:rsidRPr="00225669">
        <w:t xml:space="preserve"> </w:t>
      </w:r>
      <w:r w:rsidR="00F26D47" w:rsidRPr="00225669">
        <w:t>R</w:t>
      </w:r>
      <w:r w:rsidR="00DD3010" w:rsidRPr="00225669">
        <w:t>esponse in the Niger Delta</w:t>
      </w:r>
      <w:bookmarkEnd w:id="19"/>
    </w:p>
    <w:p w14:paraId="50E70D80" w14:textId="61C70612" w:rsidR="00F4735C" w:rsidRPr="00225669" w:rsidRDefault="00F4735C" w:rsidP="00137DFE">
      <w:pPr>
        <w:pStyle w:val="Summary"/>
      </w:pPr>
      <w:r w:rsidRPr="00225669">
        <w:t xml:space="preserve">This chapter focuses on four of the interventionist agencies set up by the Federal Government of Nigeria to drive development in the region. These agencies include the Niger Delta Development Commission, Ministry of Niger Delta Affairs, Presidential Amnesty Programme, and the Hydrocarbon Pollution Restoration Programme. </w:t>
      </w:r>
      <w:r w:rsidR="00601233" w:rsidRPr="00225669">
        <w:t>It presents an argument that some form of community-based trust funds is required to improve governance and transparency in the management of the funds for the region.</w:t>
      </w:r>
    </w:p>
    <w:p w14:paraId="3549E221" w14:textId="77777777" w:rsidR="00F4735C" w:rsidRPr="00225669" w:rsidRDefault="00F4735C" w:rsidP="00137DFE">
      <w:pPr>
        <w:pStyle w:val="BodyTextIndent"/>
        <w:ind w:firstLine="0"/>
        <w:rPr>
          <w:rFonts w:ascii="Arial" w:hAnsi="Arial" w:cs="Arial"/>
          <w:sz w:val="24"/>
          <w:szCs w:val="24"/>
          <w:lang w:val="en-GB"/>
        </w:rPr>
      </w:pPr>
    </w:p>
    <w:p w14:paraId="6E93B7CC" w14:textId="09E19D35" w:rsidR="00730059" w:rsidRPr="00225669" w:rsidRDefault="002C0943" w:rsidP="00137DFE">
      <w:pPr>
        <w:pStyle w:val="Heading2"/>
        <w:rPr>
          <w:rFonts w:ascii="Arial" w:hAnsi="Arial" w:cs="Arial"/>
        </w:rPr>
      </w:pPr>
      <w:bookmarkStart w:id="20" w:name="_Toc311709493"/>
      <w:r w:rsidRPr="00225669">
        <w:rPr>
          <w:rFonts w:ascii="Arial" w:hAnsi="Arial" w:cs="Arial"/>
        </w:rPr>
        <w:t>Niger Delta Development Commission</w:t>
      </w:r>
      <w:bookmarkEnd w:id="20"/>
    </w:p>
    <w:p w14:paraId="33FF060B" w14:textId="77777777" w:rsidR="002C0943" w:rsidRPr="00225669" w:rsidRDefault="002C0943" w:rsidP="00137DFE">
      <w:pPr>
        <w:pStyle w:val="BodyTextIndent"/>
        <w:ind w:firstLine="0"/>
        <w:rPr>
          <w:rFonts w:ascii="Arial" w:hAnsi="Arial" w:cs="Arial"/>
          <w:sz w:val="24"/>
          <w:szCs w:val="24"/>
          <w:lang w:val="en-GB"/>
        </w:rPr>
      </w:pPr>
      <w:r w:rsidRPr="00225669">
        <w:rPr>
          <w:rFonts w:ascii="Arial" w:hAnsi="Arial" w:cs="Arial"/>
          <w:sz w:val="24"/>
          <w:szCs w:val="24"/>
          <w:lang w:val="en-GB"/>
        </w:rPr>
        <w:t>Act No. 6 of 2000 established the Niger Delta Development Commission (NDDC) and the Commission formally came into being in January 2001. Section 7 of the NDDC Act provides that the functions of the Commission shall be the following:</w:t>
      </w:r>
    </w:p>
    <w:p w14:paraId="0841016B" w14:textId="77777777" w:rsidR="00F82588" w:rsidRPr="00225669" w:rsidRDefault="00F82588" w:rsidP="00137DFE">
      <w:pPr>
        <w:ind w:left="750" w:hanging="750"/>
        <w:jc w:val="both"/>
        <w:rPr>
          <w:rFonts w:cs="Arial"/>
        </w:rPr>
      </w:pPr>
    </w:p>
    <w:p w14:paraId="7504DE6E" w14:textId="2F58B586" w:rsidR="00F26D47" w:rsidRPr="00225669" w:rsidRDefault="002C0943" w:rsidP="00AF131C">
      <w:pPr>
        <w:pStyle w:val="ListParagraph"/>
        <w:numPr>
          <w:ilvl w:val="0"/>
          <w:numId w:val="22"/>
        </w:numPr>
        <w:jc w:val="both"/>
        <w:rPr>
          <w:rFonts w:cs="Arial"/>
        </w:rPr>
      </w:pPr>
      <w:r w:rsidRPr="00225669">
        <w:rPr>
          <w:rFonts w:cs="Arial"/>
        </w:rPr>
        <w:t>Formulate policies and guidelines for the development of the Niger-Delta, area;</w:t>
      </w:r>
    </w:p>
    <w:p w14:paraId="7FC0C0BF" w14:textId="61086BEB" w:rsidR="00F26D47" w:rsidRPr="00225669" w:rsidRDefault="002C0943" w:rsidP="00AF131C">
      <w:pPr>
        <w:pStyle w:val="ListParagraph"/>
        <w:numPr>
          <w:ilvl w:val="0"/>
          <w:numId w:val="22"/>
        </w:numPr>
        <w:jc w:val="both"/>
        <w:rPr>
          <w:rFonts w:cs="Arial"/>
        </w:rPr>
      </w:pPr>
      <w:r w:rsidRPr="00225669">
        <w:rPr>
          <w:rFonts w:cs="Arial"/>
        </w:rPr>
        <w:t>Conceive, plan and implement, in accordance with set rules and regulations, projects and programmes for t</w:t>
      </w:r>
      <w:r w:rsidR="00707431" w:rsidRPr="00225669">
        <w:rPr>
          <w:rFonts w:cs="Arial"/>
        </w:rPr>
        <w:t>he sustainable development of th</w:t>
      </w:r>
      <w:r w:rsidRPr="00225669">
        <w:rPr>
          <w:rFonts w:cs="Arial"/>
        </w:rPr>
        <w:t>e Niger-Delta area in the field of transportation including roads, jetties and waterways, health, education, employment, industriali</w:t>
      </w:r>
      <w:r w:rsidR="00F4735C" w:rsidRPr="00225669">
        <w:rPr>
          <w:rFonts w:cs="Arial"/>
        </w:rPr>
        <w:t>s</w:t>
      </w:r>
      <w:r w:rsidRPr="00225669">
        <w:rPr>
          <w:rFonts w:cs="Arial"/>
        </w:rPr>
        <w:t>ation, agriculture and fisheries, housing and urban development, water supply, electricity and telecommunications;</w:t>
      </w:r>
    </w:p>
    <w:p w14:paraId="41D5B454" w14:textId="5C441B6A" w:rsidR="00F26D47" w:rsidRPr="00225669" w:rsidRDefault="002C0943" w:rsidP="00AF131C">
      <w:pPr>
        <w:pStyle w:val="ListParagraph"/>
        <w:numPr>
          <w:ilvl w:val="0"/>
          <w:numId w:val="22"/>
        </w:numPr>
        <w:jc w:val="both"/>
        <w:rPr>
          <w:rFonts w:cs="Arial"/>
        </w:rPr>
      </w:pPr>
      <w:r w:rsidRPr="00225669">
        <w:rPr>
          <w:rFonts w:cs="Arial"/>
        </w:rPr>
        <w:t xml:space="preserve">Cause the Niger-Delta area to be surveyed in order to ascertain measures which are necessary to </w:t>
      </w:r>
      <w:r w:rsidR="00707431" w:rsidRPr="00225669">
        <w:rPr>
          <w:rFonts w:cs="Arial"/>
        </w:rPr>
        <w:t>promote its physical and socio-</w:t>
      </w:r>
      <w:r w:rsidRPr="00225669">
        <w:rPr>
          <w:rFonts w:cs="Arial"/>
        </w:rPr>
        <w:t>economic development;</w:t>
      </w:r>
    </w:p>
    <w:p w14:paraId="2DBB7599" w14:textId="629FE3AC" w:rsidR="00F26D47" w:rsidRPr="00225669" w:rsidRDefault="002C0943" w:rsidP="00AF131C">
      <w:pPr>
        <w:pStyle w:val="ListParagraph"/>
        <w:numPr>
          <w:ilvl w:val="0"/>
          <w:numId w:val="22"/>
        </w:numPr>
        <w:jc w:val="both"/>
        <w:rPr>
          <w:rFonts w:cs="Arial"/>
        </w:rPr>
      </w:pPr>
      <w:r w:rsidRPr="00225669">
        <w:rPr>
          <w:rFonts w:cs="Arial"/>
        </w:rPr>
        <w:t>Prepare master plans and schemes designed to promote the physical development of the Niger-Delta area and the estimates of the costs of implementing such master plans and schemes;</w:t>
      </w:r>
    </w:p>
    <w:p w14:paraId="36EEC8F2" w14:textId="0C6EAC67" w:rsidR="00F26D47" w:rsidRPr="00225669" w:rsidRDefault="002C0943" w:rsidP="00AF131C">
      <w:pPr>
        <w:pStyle w:val="ListParagraph"/>
        <w:numPr>
          <w:ilvl w:val="0"/>
          <w:numId w:val="22"/>
        </w:numPr>
        <w:jc w:val="both"/>
        <w:rPr>
          <w:rFonts w:cs="Arial"/>
        </w:rPr>
      </w:pPr>
      <w:r w:rsidRPr="00225669">
        <w:rPr>
          <w:rFonts w:cs="Arial"/>
        </w:rPr>
        <w:t>Implement all the measures approved for the development of the Niger- Delta area by the Federal Government and the member States of the Commission;</w:t>
      </w:r>
    </w:p>
    <w:p w14:paraId="76713499" w14:textId="6F5151F8" w:rsidR="00F26D47" w:rsidRPr="00225669" w:rsidRDefault="002C0943" w:rsidP="00AF131C">
      <w:pPr>
        <w:pStyle w:val="ListParagraph"/>
        <w:numPr>
          <w:ilvl w:val="0"/>
          <w:numId w:val="22"/>
        </w:numPr>
        <w:jc w:val="both"/>
        <w:rPr>
          <w:rFonts w:cs="Arial"/>
        </w:rPr>
      </w:pPr>
      <w:r w:rsidRPr="00225669">
        <w:rPr>
          <w:rFonts w:cs="Arial"/>
        </w:rPr>
        <w:t>Identify factors inhibiting the development of the Niger-Delta area and assist the member States in the formulation and implementation of policies to ensure sound and efficient management of the resources of the Niger-Delta area;</w:t>
      </w:r>
    </w:p>
    <w:p w14:paraId="625BD318" w14:textId="17DA7B7F" w:rsidR="00F26D47" w:rsidRPr="00225669" w:rsidRDefault="002C0943" w:rsidP="00AF131C">
      <w:pPr>
        <w:pStyle w:val="ListParagraph"/>
        <w:numPr>
          <w:ilvl w:val="0"/>
          <w:numId w:val="22"/>
        </w:numPr>
        <w:jc w:val="both"/>
        <w:rPr>
          <w:rFonts w:cs="Arial"/>
        </w:rPr>
      </w:pPr>
      <w:r w:rsidRPr="00225669">
        <w:rPr>
          <w:rFonts w:cs="Arial"/>
        </w:rPr>
        <w:t xml:space="preserve">Assess and report on any project being funded or carried out in the Niger-Delta area by oil and gas producing companies and any other company including non-governmental organisations and ensure that funds released for such projects are properly </w:t>
      </w:r>
      <w:r w:rsidR="00707431" w:rsidRPr="00225669">
        <w:rPr>
          <w:rFonts w:cs="Arial"/>
        </w:rPr>
        <w:t>utilis</w:t>
      </w:r>
      <w:r w:rsidR="00F26D47" w:rsidRPr="00225669">
        <w:rPr>
          <w:rFonts w:cs="Arial"/>
        </w:rPr>
        <w:t>ed</w:t>
      </w:r>
      <w:r w:rsidRPr="00225669">
        <w:rPr>
          <w:rFonts w:cs="Arial"/>
        </w:rPr>
        <w:t>;</w:t>
      </w:r>
    </w:p>
    <w:p w14:paraId="472782E2" w14:textId="16FF185B" w:rsidR="00F26D47" w:rsidRPr="00225669" w:rsidRDefault="002C0943" w:rsidP="00AF131C">
      <w:pPr>
        <w:pStyle w:val="ListParagraph"/>
        <w:numPr>
          <w:ilvl w:val="0"/>
          <w:numId w:val="22"/>
        </w:numPr>
        <w:jc w:val="both"/>
        <w:rPr>
          <w:rFonts w:cs="Arial"/>
        </w:rPr>
      </w:pPr>
      <w:r w:rsidRPr="00225669">
        <w:rPr>
          <w:rFonts w:cs="Arial"/>
        </w:rPr>
        <w:t>Tackle ecological and environmental problems that arise from the exploration of oil mineral in the Niger-Delta area and advise the Federal Government and the member States on the prevention and control of oil spillages gas flaring and environmental pollution;</w:t>
      </w:r>
    </w:p>
    <w:p w14:paraId="008D0163" w14:textId="29FC5279" w:rsidR="00F26D47" w:rsidRPr="00225669" w:rsidRDefault="002C0943" w:rsidP="00AF131C">
      <w:pPr>
        <w:pStyle w:val="ListParagraph"/>
        <w:numPr>
          <w:ilvl w:val="0"/>
          <w:numId w:val="22"/>
        </w:numPr>
        <w:jc w:val="both"/>
        <w:rPr>
          <w:rFonts w:cs="Arial"/>
        </w:rPr>
      </w:pPr>
      <w:r w:rsidRPr="00225669">
        <w:rPr>
          <w:rFonts w:cs="Arial"/>
        </w:rPr>
        <w:t>Liaise with the various oil mineral and gas prospecting and producing companies on all matters of pollution prevention and control; and</w:t>
      </w:r>
    </w:p>
    <w:p w14:paraId="39DCE799" w14:textId="7BE7B9B1" w:rsidR="002C0943" w:rsidRPr="00225669" w:rsidRDefault="002C0943" w:rsidP="00AF131C">
      <w:pPr>
        <w:pStyle w:val="ListParagraph"/>
        <w:numPr>
          <w:ilvl w:val="0"/>
          <w:numId w:val="22"/>
        </w:numPr>
        <w:jc w:val="both"/>
        <w:rPr>
          <w:rFonts w:cs="Arial"/>
        </w:rPr>
      </w:pPr>
      <w:r w:rsidRPr="00225669">
        <w:rPr>
          <w:rFonts w:cs="Arial"/>
        </w:rPr>
        <w:t xml:space="preserve">Execute such other works and perform such other </w:t>
      </w:r>
      <w:r w:rsidR="00F26D47" w:rsidRPr="00225669">
        <w:rPr>
          <w:rFonts w:cs="Arial"/>
        </w:rPr>
        <w:t>functions, which</w:t>
      </w:r>
      <w:r w:rsidRPr="00225669">
        <w:rPr>
          <w:rFonts w:cs="Arial"/>
        </w:rPr>
        <w:t xml:space="preserve"> in the opinion of the Commission are required for the sustainable development of the Niger- Delta area and its peoples.</w:t>
      </w:r>
    </w:p>
    <w:p w14:paraId="090CBEA1" w14:textId="77777777" w:rsidR="00F26D47" w:rsidRPr="00225669" w:rsidRDefault="00F26D47" w:rsidP="00137DFE">
      <w:pPr>
        <w:pStyle w:val="BodyTextIndent"/>
        <w:ind w:firstLine="0"/>
        <w:rPr>
          <w:rFonts w:ascii="Arial" w:hAnsi="Arial" w:cs="Arial"/>
          <w:lang w:val="en-GB"/>
        </w:rPr>
      </w:pPr>
    </w:p>
    <w:p w14:paraId="6474A332" w14:textId="56C44D6A" w:rsidR="002C0943" w:rsidRPr="00225669" w:rsidRDefault="002C0943" w:rsidP="00137DFE">
      <w:pPr>
        <w:pStyle w:val="BodyTextIndent"/>
        <w:ind w:firstLine="0"/>
        <w:rPr>
          <w:lang w:val="en-GB"/>
        </w:rPr>
      </w:pPr>
      <w:r w:rsidRPr="00225669">
        <w:rPr>
          <w:rFonts w:ascii="Arial" w:hAnsi="Arial" w:cs="Arial"/>
          <w:sz w:val="24"/>
          <w:szCs w:val="24"/>
          <w:lang w:val="en-GB"/>
        </w:rPr>
        <w:t>From the law establishing the Commission, these functions are to be funded from the following major sources:</w:t>
      </w:r>
    </w:p>
    <w:p w14:paraId="3596B58C" w14:textId="43DABF9D" w:rsidR="00F26D47" w:rsidRPr="00225669" w:rsidRDefault="00F26D47" w:rsidP="00AF131C">
      <w:pPr>
        <w:pStyle w:val="ListParagraph"/>
        <w:numPr>
          <w:ilvl w:val="0"/>
          <w:numId w:val="23"/>
        </w:numPr>
        <w:jc w:val="both"/>
        <w:rPr>
          <w:rFonts w:cs="Arial"/>
        </w:rPr>
      </w:pPr>
      <w:r w:rsidRPr="00225669">
        <w:rPr>
          <w:rFonts w:cs="Arial"/>
        </w:rPr>
        <w:t>From</w:t>
      </w:r>
      <w:r w:rsidR="002C0943" w:rsidRPr="00225669">
        <w:rPr>
          <w:rFonts w:cs="Arial"/>
        </w:rPr>
        <w:t xml:space="preserve"> the Federal Government, the equivalent of 15 percent of the total monthly statutory allocations due to member States of the Commission from the Federation Account; this being the contribution of the Federal Government to the Commission</w:t>
      </w:r>
      <w:r w:rsidRPr="00225669">
        <w:rPr>
          <w:rFonts w:cs="Arial"/>
        </w:rPr>
        <w:t>.</w:t>
      </w:r>
    </w:p>
    <w:p w14:paraId="0EC6FAA3" w14:textId="57FE10BB" w:rsidR="00F26D47" w:rsidRPr="00225669" w:rsidRDefault="002C0943" w:rsidP="00AF131C">
      <w:pPr>
        <w:pStyle w:val="ListParagraph"/>
        <w:numPr>
          <w:ilvl w:val="0"/>
          <w:numId w:val="23"/>
        </w:numPr>
        <w:jc w:val="both"/>
        <w:rPr>
          <w:rFonts w:cs="Arial"/>
        </w:rPr>
      </w:pPr>
      <w:r w:rsidRPr="00225669">
        <w:rPr>
          <w:rFonts w:cs="Arial"/>
        </w:rPr>
        <w:t>3 percent of the total annual budget of any oil</w:t>
      </w:r>
      <w:r w:rsidR="00707431" w:rsidRPr="00225669">
        <w:rPr>
          <w:rFonts w:cs="Arial"/>
        </w:rPr>
        <w:t xml:space="preserve"> producing company operating onshore and offshore in the Niger-Delta Area,</w:t>
      </w:r>
      <w:r w:rsidRPr="00225669">
        <w:rPr>
          <w:rFonts w:cs="Arial"/>
        </w:rPr>
        <w:t xml:space="preserve"> including gas processing companies;</w:t>
      </w:r>
    </w:p>
    <w:p w14:paraId="76A611E2" w14:textId="47FBF0BB" w:rsidR="00F26D47" w:rsidRPr="00225669" w:rsidRDefault="00D426D4" w:rsidP="00AF131C">
      <w:pPr>
        <w:pStyle w:val="ListParagraph"/>
        <w:numPr>
          <w:ilvl w:val="0"/>
          <w:numId w:val="23"/>
        </w:numPr>
        <w:jc w:val="both"/>
        <w:rPr>
          <w:rFonts w:cs="Arial"/>
        </w:rPr>
      </w:pPr>
      <w:r w:rsidRPr="00225669">
        <w:rPr>
          <w:rFonts w:cs="Arial"/>
        </w:rPr>
        <w:t>50 percent of mon</w:t>
      </w:r>
      <w:r w:rsidR="002C0943" w:rsidRPr="00225669">
        <w:rPr>
          <w:rFonts w:cs="Arial"/>
        </w:rPr>
        <w:t>e</w:t>
      </w:r>
      <w:r w:rsidRPr="00225669">
        <w:rPr>
          <w:rFonts w:cs="Arial"/>
        </w:rPr>
        <w:t>y</w:t>
      </w:r>
      <w:r w:rsidR="002C0943" w:rsidRPr="00225669">
        <w:rPr>
          <w:rFonts w:cs="Arial"/>
        </w:rPr>
        <w:t>s due to member States of the Commission from the Ecological Fund,</w:t>
      </w:r>
    </w:p>
    <w:p w14:paraId="00CAFB47" w14:textId="5B4F5177" w:rsidR="00F26D47" w:rsidRPr="00225669" w:rsidRDefault="00F26D47" w:rsidP="00AF131C">
      <w:pPr>
        <w:pStyle w:val="ListParagraph"/>
        <w:numPr>
          <w:ilvl w:val="0"/>
          <w:numId w:val="23"/>
        </w:numPr>
        <w:jc w:val="both"/>
        <w:rPr>
          <w:rFonts w:cs="Arial"/>
        </w:rPr>
      </w:pPr>
      <w:r w:rsidRPr="00225669">
        <w:rPr>
          <w:rFonts w:cs="Arial"/>
        </w:rPr>
        <w:t>Such</w:t>
      </w:r>
      <w:r w:rsidR="00D426D4" w:rsidRPr="00225669">
        <w:rPr>
          <w:rFonts w:cs="Arial"/>
        </w:rPr>
        <w:t xml:space="preserve"> mon</w:t>
      </w:r>
      <w:r w:rsidR="002C0943" w:rsidRPr="00225669">
        <w:rPr>
          <w:rFonts w:cs="Arial"/>
        </w:rPr>
        <w:t>e</w:t>
      </w:r>
      <w:r w:rsidR="00D426D4" w:rsidRPr="00225669">
        <w:rPr>
          <w:rFonts w:cs="Arial"/>
        </w:rPr>
        <w:t>y</w:t>
      </w:r>
      <w:r w:rsidR="002C0943" w:rsidRPr="00225669">
        <w:rPr>
          <w:rFonts w:cs="Arial"/>
        </w:rPr>
        <w:t>s as may</w:t>
      </w:r>
      <w:r w:rsidR="00D426D4" w:rsidRPr="00225669">
        <w:rPr>
          <w:rFonts w:cs="Arial"/>
        </w:rPr>
        <w:t>,</w:t>
      </w:r>
      <w:r w:rsidR="002C0943" w:rsidRPr="00225669">
        <w:rPr>
          <w:rFonts w:cs="Arial"/>
        </w:rPr>
        <w:t xml:space="preserve"> from time to time, be granted or lent to or deposited with the Commission by the Federal </w:t>
      </w:r>
      <w:r w:rsidR="00D426D4" w:rsidRPr="00225669">
        <w:rPr>
          <w:rFonts w:cs="Arial"/>
        </w:rPr>
        <w:t xml:space="preserve">Government </w:t>
      </w:r>
      <w:r w:rsidR="002C0943" w:rsidRPr="00225669">
        <w:rPr>
          <w:rFonts w:cs="Arial"/>
        </w:rPr>
        <w:t>or a State Government, any other body</w:t>
      </w:r>
      <w:r w:rsidR="00D426D4" w:rsidRPr="00225669">
        <w:rPr>
          <w:rFonts w:cs="Arial"/>
        </w:rPr>
        <w:t>,</w:t>
      </w:r>
      <w:r w:rsidR="002C0943" w:rsidRPr="00225669">
        <w:rPr>
          <w:rFonts w:cs="Arial"/>
        </w:rPr>
        <w:t xml:space="preserve"> or institution whether local or foreign;</w:t>
      </w:r>
    </w:p>
    <w:p w14:paraId="1EEBADAB" w14:textId="0ECA71DC" w:rsidR="00F26D47" w:rsidRPr="00225669" w:rsidRDefault="00F26D47" w:rsidP="00AF131C">
      <w:pPr>
        <w:pStyle w:val="ListParagraph"/>
        <w:numPr>
          <w:ilvl w:val="0"/>
          <w:numId w:val="23"/>
        </w:numPr>
        <w:jc w:val="both"/>
        <w:rPr>
          <w:rFonts w:cs="Arial"/>
        </w:rPr>
      </w:pPr>
      <w:r w:rsidRPr="00225669">
        <w:rPr>
          <w:rFonts w:cs="Arial"/>
        </w:rPr>
        <w:t>All</w:t>
      </w:r>
      <w:r w:rsidR="002C0943" w:rsidRPr="00225669">
        <w:rPr>
          <w:rFonts w:cs="Arial"/>
        </w:rPr>
        <w:t xml:space="preserve"> moneys raised for the purposes of the Commission by way of gifts, loan, grants-in-aid, testamentary disposition or otherwise; and</w:t>
      </w:r>
    </w:p>
    <w:p w14:paraId="50C52D39" w14:textId="077EADB0" w:rsidR="002C0943" w:rsidRPr="00225669" w:rsidRDefault="00F26D47" w:rsidP="00AF131C">
      <w:pPr>
        <w:pStyle w:val="ListParagraph"/>
        <w:numPr>
          <w:ilvl w:val="0"/>
          <w:numId w:val="23"/>
        </w:numPr>
        <w:jc w:val="both"/>
        <w:rPr>
          <w:rFonts w:cs="Arial"/>
        </w:rPr>
      </w:pPr>
      <w:r w:rsidRPr="00225669">
        <w:rPr>
          <w:rFonts w:cs="Arial"/>
        </w:rPr>
        <w:t>Proceeds</w:t>
      </w:r>
      <w:r w:rsidR="002C0943" w:rsidRPr="00225669">
        <w:rPr>
          <w:rFonts w:cs="Arial"/>
        </w:rPr>
        <w:t xml:space="preserve"> from all other assets that may, from time to time, accrue to the Commission.</w:t>
      </w:r>
    </w:p>
    <w:p w14:paraId="3764C2F1" w14:textId="21D9E539" w:rsidR="002C0943" w:rsidRPr="00225669" w:rsidRDefault="002C0943" w:rsidP="00137DFE">
      <w:pPr>
        <w:jc w:val="both"/>
        <w:rPr>
          <w:rFonts w:cs="Arial"/>
        </w:rPr>
      </w:pPr>
    </w:p>
    <w:p w14:paraId="2F976C39" w14:textId="5067D61A" w:rsidR="002C0943" w:rsidRPr="00225669" w:rsidRDefault="002C0943" w:rsidP="00137DFE">
      <w:pPr>
        <w:pStyle w:val="BlockText"/>
        <w:tabs>
          <w:tab w:val="left" w:pos="720"/>
        </w:tabs>
        <w:ind w:left="0" w:right="0"/>
        <w:rPr>
          <w:rFonts w:ascii="Arial" w:hAnsi="Arial" w:cs="Arial"/>
          <w:sz w:val="24"/>
          <w:szCs w:val="24"/>
          <w:lang w:val="en-GB"/>
        </w:rPr>
      </w:pPr>
      <w:r w:rsidRPr="00225669">
        <w:rPr>
          <w:rFonts w:ascii="Arial" w:hAnsi="Arial" w:cs="Arial"/>
          <w:sz w:val="24"/>
          <w:szCs w:val="24"/>
          <w:lang w:val="en-GB"/>
        </w:rPr>
        <w:t>In 2004, the NDDC completed a Master Plan for the development of the Niger Delta</w:t>
      </w:r>
      <w:r w:rsidR="00D426D4" w:rsidRPr="00225669">
        <w:rPr>
          <w:rFonts w:ascii="Arial" w:hAnsi="Arial" w:cs="Arial"/>
          <w:sz w:val="24"/>
          <w:szCs w:val="24"/>
          <w:lang w:val="en-GB"/>
        </w:rPr>
        <w:t>. The Plan, which is</w:t>
      </w:r>
      <w:r w:rsidRPr="00225669">
        <w:rPr>
          <w:rFonts w:ascii="Arial" w:hAnsi="Arial" w:cs="Arial"/>
          <w:sz w:val="24"/>
          <w:szCs w:val="24"/>
          <w:lang w:val="en-GB"/>
        </w:rPr>
        <w:t xml:space="preserve"> expected to cost trillions of Naira</w:t>
      </w:r>
      <w:r w:rsidR="00D426D4" w:rsidRPr="00225669">
        <w:rPr>
          <w:rFonts w:ascii="Arial" w:hAnsi="Arial" w:cs="Arial"/>
          <w:sz w:val="24"/>
          <w:szCs w:val="24"/>
          <w:lang w:val="en-GB"/>
        </w:rPr>
        <w:t xml:space="preserve"> to implement, </w:t>
      </w:r>
      <w:r w:rsidRPr="00225669">
        <w:rPr>
          <w:rFonts w:ascii="Arial" w:hAnsi="Arial" w:cs="Arial"/>
          <w:sz w:val="24"/>
          <w:szCs w:val="24"/>
          <w:lang w:val="en-GB"/>
        </w:rPr>
        <w:t xml:space="preserve">was developed by the German agency, GTZ. Many observers have praised the Plan, though there are concerns from start as to whether it will be implemented, considering the experiences of previous interventions such as the Oil Minerals Producing Areas Development Commission (OMPADEC). </w:t>
      </w:r>
      <w:r w:rsidR="000574DB" w:rsidRPr="00225669">
        <w:rPr>
          <w:rFonts w:ascii="Arial" w:hAnsi="Arial" w:cs="Arial"/>
          <w:sz w:val="24"/>
          <w:szCs w:val="24"/>
          <w:lang w:val="en-GB"/>
        </w:rPr>
        <w:t>S</w:t>
      </w:r>
      <w:r w:rsidRPr="00225669">
        <w:rPr>
          <w:rFonts w:ascii="Arial" w:hAnsi="Arial" w:cs="Arial"/>
          <w:sz w:val="24"/>
          <w:szCs w:val="24"/>
          <w:lang w:val="en-GB"/>
        </w:rPr>
        <w:t xml:space="preserve">everal observers of the Niger Delta </w:t>
      </w:r>
      <w:r w:rsidR="000574DB" w:rsidRPr="00225669">
        <w:rPr>
          <w:rFonts w:ascii="Arial" w:hAnsi="Arial" w:cs="Arial"/>
          <w:sz w:val="24"/>
          <w:szCs w:val="24"/>
          <w:lang w:val="en-GB"/>
        </w:rPr>
        <w:t>expressed</w:t>
      </w:r>
      <w:r w:rsidRPr="00225669">
        <w:rPr>
          <w:rFonts w:ascii="Arial" w:hAnsi="Arial" w:cs="Arial"/>
          <w:sz w:val="24"/>
          <w:szCs w:val="24"/>
          <w:lang w:val="en-GB"/>
        </w:rPr>
        <w:t xml:space="preserve"> unease </w:t>
      </w:r>
      <w:r w:rsidR="000574DB" w:rsidRPr="00225669">
        <w:rPr>
          <w:rFonts w:ascii="Arial" w:hAnsi="Arial" w:cs="Arial"/>
          <w:sz w:val="24"/>
          <w:szCs w:val="24"/>
          <w:lang w:val="en-GB"/>
        </w:rPr>
        <w:t xml:space="preserve">that </w:t>
      </w:r>
      <w:r w:rsidRPr="00225669">
        <w:rPr>
          <w:rFonts w:ascii="Arial" w:hAnsi="Arial" w:cs="Arial"/>
          <w:sz w:val="24"/>
          <w:szCs w:val="24"/>
          <w:lang w:val="en-GB"/>
        </w:rPr>
        <w:t>the Commission</w:t>
      </w:r>
      <w:r w:rsidR="000574DB" w:rsidRPr="00225669">
        <w:rPr>
          <w:rFonts w:ascii="Arial" w:hAnsi="Arial" w:cs="Arial"/>
          <w:sz w:val="24"/>
          <w:szCs w:val="24"/>
          <w:lang w:val="en-GB"/>
        </w:rPr>
        <w:t xml:space="preserve"> could be</w:t>
      </w:r>
      <w:r w:rsidRPr="00225669">
        <w:rPr>
          <w:rFonts w:ascii="Arial" w:hAnsi="Arial" w:cs="Arial"/>
          <w:sz w:val="24"/>
          <w:szCs w:val="24"/>
          <w:lang w:val="en-GB"/>
        </w:rPr>
        <w:t xml:space="preserve"> another patronage system</w:t>
      </w:r>
      <w:r w:rsidR="000574DB" w:rsidRPr="00225669">
        <w:rPr>
          <w:rFonts w:ascii="Arial" w:hAnsi="Arial" w:cs="Arial"/>
          <w:sz w:val="24"/>
          <w:szCs w:val="24"/>
          <w:lang w:val="en-GB"/>
        </w:rPr>
        <w:t xml:space="preserve"> and</w:t>
      </w:r>
      <w:r w:rsidRPr="00225669">
        <w:rPr>
          <w:rFonts w:ascii="Arial" w:hAnsi="Arial" w:cs="Arial"/>
          <w:sz w:val="24"/>
          <w:szCs w:val="24"/>
          <w:lang w:val="en-GB"/>
        </w:rPr>
        <w:t xml:space="preserve"> an avenue for enriching political loyalists. They point to the fact that within months of its existence a director in the Commission was removed from office for financial malpractices. </w:t>
      </w:r>
    </w:p>
    <w:p w14:paraId="5F1F83EC" w14:textId="77777777" w:rsidR="002C0943" w:rsidRPr="00225669" w:rsidRDefault="002C0943" w:rsidP="00137DFE">
      <w:pPr>
        <w:pStyle w:val="BlockText"/>
        <w:tabs>
          <w:tab w:val="left" w:pos="720"/>
        </w:tabs>
        <w:ind w:left="0" w:right="0"/>
        <w:rPr>
          <w:rFonts w:ascii="Arial" w:hAnsi="Arial" w:cs="Arial"/>
          <w:sz w:val="24"/>
          <w:szCs w:val="24"/>
          <w:lang w:val="en-GB"/>
        </w:rPr>
      </w:pPr>
    </w:p>
    <w:p w14:paraId="5714DDEF" w14:textId="2164B046" w:rsidR="002C0943" w:rsidRPr="00225669" w:rsidRDefault="002C0943" w:rsidP="00137DFE">
      <w:pPr>
        <w:pStyle w:val="BlockText"/>
        <w:tabs>
          <w:tab w:val="left" w:pos="720"/>
        </w:tabs>
        <w:ind w:left="0" w:right="0"/>
        <w:rPr>
          <w:rFonts w:ascii="Arial" w:hAnsi="Arial" w:cs="Arial"/>
          <w:sz w:val="24"/>
          <w:szCs w:val="24"/>
          <w:lang w:val="en-GB"/>
        </w:rPr>
      </w:pPr>
      <w:r w:rsidRPr="00225669">
        <w:rPr>
          <w:rFonts w:ascii="Arial" w:hAnsi="Arial" w:cs="Arial"/>
          <w:sz w:val="24"/>
          <w:szCs w:val="24"/>
          <w:lang w:val="en-GB"/>
        </w:rPr>
        <w:t>As a matter of fact, the NDDC was nearly stillborn. Soon after his inauguration in May 1999, President Obasanjo toured the Niger Delta and promised a major government intervention in the region. The President followed this with consultations with representatives of communities and other stakeholders in the petroleum industry</w:t>
      </w:r>
      <w:r w:rsidR="003D2FE4" w:rsidRPr="00225669">
        <w:rPr>
          <w:rFonts w:ascii="Arial" w:hAnsi="Arial" w:cs="Arial"/>
          <w:sz w:val="24"/>
          <w:szCs w:val="24"/>
          <w:lang w:val="en-GB"/>
        </w:rPr>
        <w:t>;</w:t>
      </w:r>
      <w:r w:rsidRPr="00225669">
        <w:rPr>
          <w:rFonts w:ascii="Arial" w:hAnsi="Arial" w:cs="Arial"/>
          <w:sz w:val="24"/>
          <w:szCs w:val="24"/>
          <w:lang w:val="en-GB"/>
        </w:rPr>
        <w:t xml:space="preserve"> consultations that did not always end on an amicable note. Later that year, he finally sent a bill to the National Assembly to create the NDDC. However, from start</w:t>
      </w:r>
      <w:r w:rsidR="000574DB" w:rsidRPr="00225669">
        <w:rPr>
          <w:rFonts w:ascii="Arial" w:hAnsi="Arial" w:cs="Arial"/>
          <w:sz w:val="24"/>
          <w:szCs w:val="24"/>
          <w:lang w:val="en-GB"/>
        </w:rPr>
        <w:t>,</w:t>
      </w:r>
      <w:r w:rsidRPr="00225669">
        <w:rPr>
          <w:rFonts w:ascii="Arial" w:hAnsi="Arial" w:cs="Arial"/>
          <w:sz w:val="24"/>
          <w:szCs w:val="24"/>
          <w:lang w:val="en-GB"/>
        </w:rPr>
        <w:t xml:space="preserve"> the bill was mired in controversies involving the people of the Niger Delta, the National Assembly and the Presidency over the definition of the Niger Delta, the funding of the Commission, location of its headquarters and staffing.</w:t>
      </w:r>
      <w:r w:rsidRPr="00225669">
        <w:rPr>
          <w:rStyle w:val="FootnoteReference"/>
          <w:rFonts w:ascii="Arial" w:eastAsiaTheme="majorEastAsia" w:hAnsi="Arial" w:cs="Arial"/>
          <w:sz w:val="24"/>
          <w:szCs w:val="24"/>
          <w:lang w:val="en-GB"/>
        </w:rPr>
        <w:footnoteReference w:id="25"/>
      </w:r>
      <w:r w:rsidRPr="00225669">
        <w:rPr>
          <w:rFonts w:ascii="Arial" w:hAnsi="Arial" w:cs="Arial"/>
          <w:sz w:val="24"/>
          <w:szCs w:val="24"/>
          <w:lang w:val="en-GB"/>
        </w:rPr>
        <w:t xml:space="preserve"> These controversies have continued to dog the Commission. Other observers think that the structures of decision-making in the NDDC are not participatory enough and that direct consultations with communities are either not conducted or, where they are conducted, are farcical. Also, the oil companies have in the past expressed reservations about NDDC. In fact, at one point they threatened to withhold their remittances until the Commission showed e</w:t>
      </w:r>
      <w:r w:rsidR="003D2FE4" w:rsidRPr="00225669">
        <w:rPr>
          <w:rFonts w:ascii="Arial" w:hAnsi="Arial" w:cs="Arial"/>
          <w:sz w:val="24"/>
          <w:szCs w:val="24"/>
          <w:lang w:val="en-GB"/>
        </w:rPr>
        <w:t>vidence of working with the mon</w:t>
      </w:r>
      <w:r w:rsidRPr="00225669">
        <w:rPr>
          <w:rFonts w:ascii="Arial" w:hAnsi="Arial" w:cs="Arial"/>
          <w:sz w:val="24"/>
          <w:szCs w:val="24"/>
          <w:lang w:val="en-GB"/>
        </w:rPr>
        <w:t>e</w:t>
      </w:r>
      <w:r w:rsidR="003D2FE4" w:rsidRPr="00225669">
        <w:rPr>
          <w:rFonts w:ascii="Arial" w:hAnsi="Arial" w:cs="Arial"/>
          <w:sz w:val="24"/>
          <w:szCs w:val="24"/>
          <w:lang w:val="en-GB"/>
        </w:rPr>
        <w:t>y</w:t>
      </w:r>
      <w:r w:rsidRPr="00225669">
        <w:rPr>
          <w:rFonts w:ascii="Arial" w:hAnsi="Arial" w:cs="Arial"/>
          <w:sz w:val="24"/>
          <w:szCs w:val="24"/>
          <w:lang w:val="en-GB"/>
        </w:rPr>
        <w:t>s already paid to it.</w:t>
      </w:r>
    </w:p>
    <w:p w14:paraId="5692F490" w14:textId="77777777" w:rsidR="002C0943" w:rsidRPr="00225669" w:rsidRDefault="002C0943" w:rsidP="00137DFE">
      <w:pPr>
        <w:pStyle w:val="BlockText"/>
        <w:tabs>
          <w:tab w:val="left" w:pos="720"/>
        </w:tabs>
        <w:ind w:left="0" w:right="0"/>
        <w:rPr>
          <w:rFonts w:ascii="Arial" w:hAnsi="Arial" w:cs="Arial"/>
          <w:sz w:val="24"/>
          <w:szCs w:val="24"/>
          <w:lang w:val="en-GB"/>
        </w:rPr>
      </w:pPr>
    </w:p>
    <w:p w14:paraId="5EBD10E0" w14:textId="7AC931C3" w:rsidR="002C0943" w:rsidRPr="00225669" w:rsidRDefault="002C0943" w:rsidP="00137DFE">
      <w:pPr>
        <w:pStyle w:val="BlockText"/>
        <w:tabs>
          <w:tab w:val="left" w:pos="720"/>
        </w:tabs>
        <w:ind w:left="0" w:right="0"/>
        <w:rPr>
          <w:rFonts w:ascii="Arial" w:hAnsi="Arial" w:cs="Arial"/>
          <w:sz w:val="24"/>
          <w:szCs w:val="24"/>
          <w:lang w:val="en-GB"/>
        </w:rPr>
      </w:pPr>
      <w:r w:rsidRPr="00225669">
        <w:rPr>
          <w:rFonts w:ascii="Arial" w:hAnsi="Arial" w:cs="Arial"/>
          <w:sz w:val="24"/>
          <w:szCs w:val="24"/>
          <w:lang w:val="en-GB"/>
        </w:rPr>
        <w:t xml:space="preserve">This image of underhandedness has rightly or wrongly followed the NDDC to date. In December 2013, President Goodluck Jonathan, who is usually circumspect about criticisms of government agencies, expressed dissatisfaction with the way the Commission was applying the enormous resources at its disposal. The President, while receiving the new Board of the Commission, noted that in spite of the enormous funds disbursed to the NDDC by the Federal Government, “I don’t believe that we have something on ground to show”. </w:t>
      </w:r>
      <w:r w:rsidRPr="00225669">
        <w:rPr>
          <w:rStyle w:val="FootnoteReference"/>
          <w:rFonts w:ascii="Arial" w:eastAsiaTheme="majorEastAsia" w:hAnsi="Arial" w:cs="Arial"/>
          <w:sz w:val="24"/>
          <w:szCs w:val="24"/>
          <w:lang w:val="en-GB"/>
        </w:rPr>
        <w:footnoteReference w:id="26"/>
      </w:r>
      <w:r w:rsidRPr="00225669">
        <w:rPr>
          <w:rFonts w:ascii="Arial" w:hAnsi="Arial" w:cs="Arial"/>
          <w:sz w:val="24"/>
          <w:szCs w:val="24"/>
          <w:lang w:val="en-GB"/>
        </w:rPr>
        <w:t xml:space="preserve"> The President had dissolved the previous Board because according to him “instead of the Board to work with the management to make sure that people from the area benefit from the NDDC, they were busy quarrelling over money”. To underscore the lingering question mark over the running of the affairs of the NDDC, its Boards have now been dissolved three times before serving out their terms – in 2011, 2013 and 2015.</w:t>
      </w:r>
    </w:p>
    <w:p w14:paraId="163D560B" w14:textId="77777777" w:rsidR="002C0943" w:rsidRPr="00225669" w:rsidRDefault="002C0943" w:rsidP="00137DFE">
      <w:pPr>
        <w:pStyle w:val="BlockText"/>
        <w:tabs>
          <w:tab w:val="left" w:pos="720"/>
        </w:tabs>
        <w:ind w:left="0" w:right="0"/>
        <w:rPr>
          <w:rFonts w:ascii="Arial" w:hAnsi="Arial" w:cs="Arial"/>
          <w:sz w:val="24"/>
          <w:szCs w:val="24"/>
          <w:lang w:val="en-GB"/>
        </w:rPr>
      </w:pPr>
    </w:p>
    <w:p w14:paraId="4A1A905A" w14:textId="4C8E8DF1" w:rsidR="002C0943" w:rsidRPr="00225669" w:rsidRDefault="002C0943" w:rsidP="00137DFE">
      <w:pPr>
        <w:jc w:val="both"/>
        <w:rPr>
          <w:rFonts w:cs="Arial"/>
        </w:rPr>
      </w:pPr>
      <w:r w:rsidRPr="00225669">
        <w:rPr>
          <w:rFonts w:cs="Arial"/>
        </w:rPr>
        <w:t>To appreciate the amount of funds received by the NDDC, one needs only to look at accruals from the 3 percent of the total annual budget of oil pr</w:t>
      </w:r>
      <w:r w:rsidR="00DE4BA0" w:rsidRPr="00225669">
        <w:rPr>
          <w:rFonts w:cs="Arial"/>
        </w:rPr>
        <w:t>oducing companies operating, onshore and offshore, in the Niger Delta a</w:t>
      </w:r>
      <w:r w:rsidRPr="00225669">
        <w:rPr>
          <w:rFonts w:cs="Arial"/>
        </w:rPr>
        <w:t>rea, including gas-processing companies, as provided by the law establishing it. According to NEITI Oil and Gas Industry Audit Reports, accruals to NDDC from this source in 2010 stood at $561,390,000, rising to $703,292,000 in 2011, but declined to $558,808,000 in 2012. These figures mean that between 2010 and 2012, accruals to NDDC from this source alone amounted to over $1.8 billion dollars.</w:t>
      </w:r>
    </w:p>
    <w:p w14:paraId="5A71F5D9" w14:textId="77777777" w:rsidR="008D1C31" w:rsidRPr="00225669" w:rsidRDefault="008D1C31" w:rsidP="00137DFE">
      <w:pPr>
        <w:jc w:val="both"/>
        <w:rPr>
          <w:rFonts w:cs="Arial"/>
        </w:rPr>
      </w:pPr>
    </w:p>
    <w:p w14:paraId="60F17B2B" w14:textId="77777777" w:rsidR="00730059" w:rsidRPr="00225669" w:rsidRDefault="008D1C31" w:rsidP="00137DFE">
      <w:pPr>
        <w:pStyle w:val="Heading2"/>
        <w:rPr>
          <w:rFonts w:ascii="Arial" w:hAnsi="Arial" w:cs="Arial"/>
        </w:rPr>
      </w:pPr>
      <w:bookmarkStart w:id="21" w:name="_Toc311709494"/>
      <w:r w:rsidRPr="00225669">
        <w:rPr>
          <w:rFonts w:ascii="Arial" w:hAnsi="Arial" w:cs="Arial"/>
        </w:rPr>
        <w:t>Ministry of Niger Delta Affairs</w:t>
      </w:r>
      <w:bookmarkEnd w:id="21"/>
    </w:p>
    <w:p w14:paraId="2B0F0BB2" w14:textId="3A723208" w:rsidR="008D1C31" w:rsidRPr="00225669" w:rsidRDefault="008D1C31" w:rsidP="00137DFE">
      <w:pPr>
        <w:jc w:val="both"/>
        <w:rPr>
          <w:rFonts w:cs="Arial"/>
        </w:rPr>
      </w:pPr>
      <w:r w:rsidRPr="00225669">
        <w:rPr>
          <w:rFonts w:cs="Arial"/>
        </w:rPr>
        <w:t xml:space="preserve">There were two major policy decisions taken by President Umaru Yar’Adua in 2009 to resolve the problem of insurgency in the Niger Delta, which at that time had all but crippled the petroleum sector in Nigeria. The first was the </w:t>
      </w:r>
      <w:r w:rsidR="003E5F25" w:rsidRPr="00225669">
        <w:rPr>
          <w:rFonts w:cs="Arial"/>
        </w:rPr>
        <w:t xml:space="preserve">Presidential </w:t>
      </w:r>
      <w:r w:rsidRPr="00225669">
        <w:rPr>
          <w:rFonts w:cs="Arial"/>
        </w:rPr>
        <w:t xml:space="preserve">Amnesty Programme and the other was the establishment of a Ministry of Niger Delta Affairs (MNDA). For some observers, MNDA was part of a genuine attempt by the federal government at the time to finally resolve the Niger Delta question, having come in the wake of the Presidential Technical Committee on the Niger Delta established in 2008 and the proclamation of the </w:t>
      </w:r>
      <w:r w:rsidR="003E5F25" w:rsidRPr="00225669">
        <w:rPr>
          <w:rFonts w:cs="Arial"/>
        </w:rPr>
        <w:t xml:space="preserve">Presidential </w:t>
      </w:r>
      <w:r w:rsidRPr="00225669">
        <w:rPr>
          <w:rFonts w:cs="Arial"/>
        </w:rPr>
        <w:t xml:space="preserve">Amnesty Programme in 2009. For other observers, however, the establishment of MNDA was at best a political gimmick designed to restart the crippled export of petroleum or worse still, just another </w:t>
      </w:r>
      <w:r w:rsidR="003E5F25" w:rsidRPr="00225669">
        <w:rPr>
          <w:rFonts w:cs="Arial"/>
        </w:rPr>
        <w:t>vehicle for political patronage</w:t>
      </w:r>
      <w:r w:rsidRPr="00225669">
        <w:rPr>
          <w:rFonts w:cs="Arial"/>
        </w:rPr>
        <w:t>.</w:t>
      </w:r>
    </w:p>
    <w:p w14:paraId="7B4074CA" w14:textId="77777777" w:rsidR="008D1C31" w:rsidRPr="00225669" w:rsidRDefault="008D1C31" w:rsidP="00137DFE">
      <w:pPr>
        <w:jc w:val="both"/>
        <w:rPr>
          <w:rFonts w:cs="Arial"/>
        </w:rPr>
      </w:pPr>
    </w:p>
    <w:p w14:paraId="72CD745F" w14:textId="182847A0" w:rsidR="008D1C31" w:rsidRPr="00225669" w:rsidRDefault="008D1C31" w:rsidP="00137DFE">
      <w:pPr>
        <w:jc w:val="both"/>
        <w:rPr>
          <w:rFonts w:cs="Arial"/>
        </w:rPr>
      </w:pPr>
      <w:r w:rsidRPr="00225669">
        <w:rPr>
          <w:rFonts w:cs="Arial"/>
        </w:rPr>
        <w:t xml:space="preserve">Between its establishment in 2009 and 2014, budget allocations to the Ministry exceeded </w:t>
      </w:r>
      <w:r w:rsidRPr="00225669">
        <w:rPr>
          <w:rFonts w:cs="Arial"/>
          <w:dstrike/>
        </w:rPr>
        <w:t>N</w:t>
      </w:r>
      <w:r w:rsidR="00011245" w:rsidRPr="00225669">
        <w:rPr>
          <w:rFonts w:cs="Arial"/>
        </w:rPr>
        <w:t>0.39 trillion</w:t>
      </w:r>
      <w:r w:rsidRPr="00225669">
        <w:rPr>
          <w:rFonts w:cs="Arial"/>
        </w:rPr>
        <w:t xml:space="preserve">. Although it is not clear whether all these funds were released to the Ministry, going by the attitude of government to budget without releasing funds, yet even less clear is what the Ministry did with </w:t>
      </w:r>
      <w:r w:rsidR="00DE4BA0" w:rsidRPr="00225669">
        <w:rPr>
          <w:rFonts w:cs="Arial"/>
        </w:rPr>
        <w:t>the budget allocation</w:t>
      </w:r>
      <w:r w:rsidRPr="00225669">
        <w:rPr>
          <w:rFonts w:cs="Arial"/>
        </w:rPr>
        <w:t xml:space="preserve"> it received. There are two important observations about the Ministry. First, it is an insertion of yet another layer of bureaucracy in funding the Niger Delta, which could hardly have helped matters. In fact, successive budgets of the Ministry show that it plans to build</w:t>
      </w:r>
      <w:r w:rsidR="003E5F25" w:rsidRPr="00225669">
        <w:rPr>
          <w:rFonts w:cs="Arial"/>
        </w:rPr>
        <w:t>,</w:t>
      </w:r>
      <w:r w:rsidRPr="00225669">
        <w:rPr>
          <w:rFonts w:cs="Arial"/>
        </w:rPr>
        <w:t xml:space="preserve"> equip</w:t>
      </w:r>
      <w:r w:rsidR="00DE4BA0" w:rsidRPr="00225669">
        <w:rPr>
          <w:rFonts w:cs="Arial"/>
        </w:rPr>
        <w:t>,</w:t>
      </w:r>
      <w:r w:rsidRPr="00225669">
        <w:rPr>
          <w:rFonts w:cs="Arial"/>
        </w:rPr>
        <w:t xml:space="preserve"> and staff offices in all the States of the Niger Delta. In the 2009 budget of the Ministry, </w:t>
      </w:r>
      <w:r w:rsidR="00DE4BA0" w:rsidRPr="00225669">
        <w:rPr>
          <w:rFonts w:cs="Arial"/>
          <w:dstrike/>
        </w:rPr>
        <w:t>N</w:t>
      </w:r>
      <w:r w:rsidR="00DE4BA0" w:rsidRPr="00225669">
        <w:rPr>
          <w:rFonts w:cs="Arial"/>
        </w:rPr>
        <w:t xml:space="preserve">50 million was projected </w:t>
      </w:r>
      <w:r w:rsidRPr="00225669">
        <w:rPr>
          <w:rFonts w:cs="Arial"/>
        </w:rPr>
        <w:t xml:space="preserve">to design and cost the prototype of the buildings, while </w:t>
      </w:r>
      <w:r w:rsidR="003E5F25" w:rsidRPr="00225669">
        <w:rPr>
          <w:rFonts w:cs="Arial"/>
          <w:dstrike/>
        </w:rPr>
        <w:t>N</w:t>
      </w:r>
      <w:r w:rsidRPr="00225669">
        <w:rPr>
          <w:rFonts w:cs="Arial"/>
        </w:rPr>
        <w:t>1.35 billion was budgeted</w:t>
      </w:r>
      <w:r w:rsidR="003E5F25" w:rsidRPr="00225669">
        <w:rPr>
          <w:rFonts w:cs="Arial"/>
        </w:rPr>
        <w:t xml:space="preserve"> for the construction</w:t>
      </w:r>
      <w:r w:rsidRPr="00225669">
        <w:rPr>
          <w:rFonts w:cs="Arial"/>
        </w:rPr>
        <w:t>. Yet, this layer of bureaucracy is by no means different from existing ones in the NDDC, Federal and State Government MDAs</w:t>
      </w:r>
      <w:r w:rsidR="003E5F25" w:rsidRPr="00225669">
        <w:rPr>
          <w:rFonts w:cs="Arial"/>
        </w:rPr>
        <w:t>,</w:t>
      </w:r>
      <w:r w:rsidRPr="00225669">
        <w:rPr>
          <w:rFonts w:cs="Arial"/>
        </w:rPr>
        <w:t xml:space="preserve"> and Local Gov</w:t>
      </w:r>
      <w:r w:rsidR="00DE4BA0" w:rsidRPr="00225669">
        <w:rPr>
          <w:rFonts w:cs="Arial"/>
        </w:rPr>
        <w:t xml:space="preserve">ernment councils. All these </w:t>
      </w:r>
      <w:r w:rsidR="00D24D4C" w:rsidRPr="00225669">
        <w:rPr>
          <w:rFonts w:cs="Arial"/>
        </w:rPr>
        <w:t>moneys</w:t>
      </w:r>
      <w:r w:rsidRPr="00225669">
        <w:rPr>
          <w:rFonts w:cs="Arial"/>
        </w:rPr>
        <w:t xml:space="preserve"> could have been consolidated and applied to existing projects in the region.</w:t>
      </w:r>
    </w:p>
    <w:p w14:paraId="4EF65E9E" w14:textId="77777777" w:rsidR="008D1C31" w:rsidRPr="00225669" w:rsidRDefault="008D1C31" w:rsidP="00137DFE">
      <w:pPr>
        <w:jc w:val="both"/>
        <w:rPr>
          <w:rFonts w:cs="Arial"/>
        </w:rPr>
      </w:pPr>
    </w:p>
    <w:p w14:paraId="231FFABA" w14:textId="72505691" w:rsidR="004D21C0" w:rsidRPr="00225669" w:rsidRDefault="008D1C31" w:rsidP="00137DFE">
      <w:pPr>
        <w:jc w:val="both"/>
        <w:rPr>
          <w:rFonts w:cs="Arial"/>
        </w:rPr>
      </w:pPr>
      <w:r w:rsidRPr="00225669">
        <w:rPr>
          <w:rFonts w:cs="Arial"/>
        </w:rPr>
        <w:t>The second important observation is that the Ministry seemed to duplicate the work that other MDAs, including the NDDC</w:t>
      </w:r>
      <w:r w:rsidR="00FA6641" w:rsidRPr="00225669">
        <w:rPr>
          <w:rFonts w:cs="Arial"/>
        </w:rPr>
        <w:t>,</w:t>
      </w:r>
      <w:r w:rsidRPr="00225669">
        <w:rPr>
          <w:rFonts w:cs="Arial"/>
        </w:rPr>
        <w:t xml:space="preserve"> </w:t>
      </w:r>
      <w:r w:rsidR="00FA6641" w:rsidRPr="00225669">
        <w:rPr>
          <w:rFonts w:cs="Arial"/>
        </w:rPr>
        <w:t xml:space="preserve">is </w:t>
      </w:r>
      <w:r w:rsidRPr="00225669">
        <w:rPr>
          <w:rFonts w:cs="Arial"/>
        </w:rPr>
        <w:t xml:space="preserve">doing. These </w:t>
      </w:r>
      <w:r w:rsidR="00FA6641" w:rsidRPr="00225669">
        <w:rPr>
          <w:rFonts w:cs="Arial"/>
        </w:rPr>
        <w:t xml:space="preserve">projects </w:t>
      </w:r>
      <w:r w:rsidRPr="00225669">
        <w:rPr>
          <w:rFonts w:cs="Arial"/>
        </w:rPr>
        <w:t>include road construction and rehabilitation, establishment of skills acquisition centres, land reclamation, housing and mortgage schemes, among others. This duplication has led to insinuations that the Ministry serves to help the diversion of funds into private pockets. Take the case of the East-West</w:t>
      </w:r>
      <w:r w:rsidR="00FA6641" w:rsidRPr="00225669">
        <w:rPr>
          <w:rFonts w:cs="Arial"/>
        </w:rPr>
        <w:t xml:space="preserve"> highway</w:t>
      </w:r>
      <w:r w:rsidRPr="00225669">
        <w:rPr>
          <w:rFonts w:cs="Arial"/>
        </w:rPr>
        <w:t>, which had been under construction before the Ministry of Niger Delta Affairs was created</w:t>
      </w:r>
      <w:r w:rsidR="00FA6641" w:rsidRPr="00225669">
        <w:rPr>
          <w:rFonts w:cs="Arial"/>
        </w:rPr>
        <w:t>.</w:t>
      </w:r>
      <w:r w:rsidRPr="00225669">
        <w:rPr>
          <w:rFonts w:cs="Arial"/>
        </w:rPr>
        <w:t xml:space="preserve"> </w:t>
      </w:r>
      <w:r w:rsidR="00FA6641" w:rsidRPr="00225669">
        <w:rPr>
          <w:rFonts w:cs="Arial"/>
        </w:rPr>
        <w:t>T</w:t>
      </w:r>
      <w:r w:rsidRPr="00225669">
        <w:rPr>
          <w:rFonts w:cs="Arial"/>
        </w:rPr>
        <w:t xml:space="preserve">he Ministry took over its construction and in spite of repeated inclusion of the road in its budget, </w:t>
      </w:r>
      <w:r w:rsidR="00D24D4C" w:rsidRPr="00225669">
        <w:rPr>
          <w:rFonts w:cs="Arial"/>
        </w:rPr>
        <w:t>the project</w:t>
      </w:r>
      <w:r w:rsidRPr="00225669">
        <w:rPr>
          <w:rFonts w:cs="Arial"/>
        </w:rPr>
        <w:t xml:space="preserve"> remains uncompleted.</w:t>
      </w:r>
    </w:p>
    <w:p w14:paraId="6685E27D" w14:textId="77777777" w:rsidR="008D1C31" w:rsidRPr="00225669" w:rsidRDefault="008D1C31" w:rsidP="00137DFE">
      <w:pPr>
        <w:jc w:val="both"/>
        <w:rPr>
          <w:rFonts w:cs="Arial"/>
        </w:rPr>
      </w:pPr>
    </w:p>
    <w:p w14:paraId="394EBB63" w14:textId="77777777" w:rsidR="00730059" w:rsidRPr="00225669" w:rsidRDefault="008D1C31" w:rsidP="00137DFE">
      <w:pPr>
        <w:pStyle w:val="Heading2"/>
        <w:rPr>
          <w:rFonts w:ascii="Arial" w:hAnsi="Arial" w:cs="Arial"/>
        </w:rPr>
      </w:pPr>
      <w:bookmarkStart w:id="22" w:name="_Toc311709495"/>
      <w:r w:rsidRPr="00225669">
        <w:rPr>
          <w:rFonts w:ascii="Arial" w:hAnsi="Arial" w:cs="Arial"/>
        </w:rPr>
        <w:t>Hydrocarbons Pollution Remediation Project (HYPREP)</w:t>
      </w:r>
      <w:bookmarkEnd w:id="22"/>
    </w:p>
    <w:p w14:paraId="1C77A6F9" w14:textId="67EF828C" w:rsidR="008D1C31" w:rsidRPr="00225669" w:rsidRDefault="008D1C31" w:rsidP="00137DFE">
      <w:pPr>
        <w:jc w:val="both"/>
        <w:rPr>
          <w:rFonts w:cs="Arial"/>
        </w:rPr>
      </w:pPr>
      <w:r w:rsidRPr="00225669">
        <w:rPr>
          <w:rFonts w:cs="Arial"/>
        </w:rPr>
        <w:t xml:space="preserve">Pollution arising from oil spillage in the Niger Delta destroys marine life and crops, makes water unsuitable for fishing and renders farmland unusable. Brine from oilfields contaminates water formations and streams, making them unfit as sources of drinking water. At the same time, </w:t>
      </w:r>
      <w:r w:rsidR="00D24D4C" w:rsidRPr="00225669">
        <w:rPr>
          <w:rFonts w:cs="Arial"/>
        </w:rPr>
        <w:t>gas flaring in the vicinity of human dwellings creates</w:t>
      </w:r>
      <w:r w:rsidR="00FA6641" w:rsidRPr="00225669">
        <w:rPr>
          <w:rFonts w:cs="Arial"/>
        </w:rPr>
        <w:t xml:space="preserve"> </w:t>
      </w:r>
      <w:r w:rsidRPr="00225669">
        <w:rPr>
          <w:rFonts w:cs="Arial"/>
        </w:rPr>
        <w:t>acid rains</w:t>
      </w:r>
      <w:r w:rsidR="00FA6641" w:rsidRPr="00225669">
        <w:rPr>
          <w:rFonts w:cs="Arial"/>
        </w:rPr>
        <w:t xml:space="preserve"> that result in </w:t>
      </w:r>
      <w:r w:rsidRPr="00225669">
        <w:rPr>
          <w:rFonts w:cs="Arial"/>
        </w:rPr>
        <w:t>deforestation and destruction of wildlife. In addition, dumping of toxic, non-biodegradable by</w:t>
      </w:r>
      <w:r w:rsidR="00F202D8" w:rsidRPr="00225669">
        <w:rPr>
          <w:rFonts w:cs="Arial"/>
        </w:rPr>
        <w:t>-</w:t>
      </w:r>
      <w:r w:rsidRPr="00225669">
        <w:rPr>
          <w:rFonts w:cs="Arial"/>
        </w:rPr>
        <w:t>products of oil refining is dangerous to both flora and fauna, including man. Metals that at high concentrations are known to cause metabolic malfunctions in human beings, such as cadmium, chromium, mercury and lead, are contained in refinery effluents constantly discharged into fresh water and farmland. They enter the food chain both by direct intake, for example</w:t>
      </w:r>
      <w:r w:rsidR="00FA6641" w:rsidRPr="00225669">
        <w:rPr>
          <w:rFonts w:cs="Arial"/>
        </w:rPr>
        <w:t>,</w:t>
      </w:r>
      <w:r w:rsidRPr="00225669">
        <w:rPr>
          <w:rFonts w:cs="Arial"/>
        </w:rPr>
        <w:t xml:space="preserve"> through drinking water or indirectly through the consumption of seafood. Fish, for instance, is known to retain mercury in its brain without metabolising it, and man runs the risk of eating such contaminated fish. The feeling in communities of the Niger Delta is that oil companies building a few roads and hospitals, or organi</w:t>
      </w:r>
      <w:r w:rsidR="00E776DF" w:rsidRPr="00225669">
        <w:rPr>
          <w:rFonts w:cs="Arial"/>
        </w:rPr>
        <w:t>s</w:t>
      </w:r>
      <w:r w:rsidRPr="00225669">
        <w:rPr>
          <w:rFonts w:cs="Arial"/>
        </w:rPr>
        <w:t>ing football matches cannot be alternatives to sound environmental remediation and guarantees of sustainable livelihoods. Corporate social responsibility must therefore go well beyond current dominant interpretations by oil companies. Indeed, the experiences of communities in the Niger Delta, particularly under military rule, abundantly shows that oil companies operating in the region have not been particularly sensitive to the impact of their activities on the communities and surrounding environment. Between 1985 and 1993, there were 2,500 major and minor oil spills in Ogoniland, a confined area inhabited by about 400,000 people. These included major incident in which Shell dallied for forty days before patching a ruptured pipe.</w:t>
      </w:r>
      <w:r w:rsidRPr="00225669">
        <w:rPr>
          <w:rFonts w:cs="Arial"/>
          <w:vertAlign w:val="superscript"/>
        </w:rPr>
        <w:footnoteReference w:id="27"/>
      </w:r>
      <w:r w:rsidRPr="00225669">
        <w:rPr>
          <w:rFonts w:cs="Arial"/>
        </w:rPr>
        <w:t xml:space="preserve"> At Aleibiri in Ekeremor Council of Bayelsa State, a major oil spill on 18 March 1997 was left uncleaned by Shell for six months, prompting a demonstration by over 10,000 youths in August 1997 demanding an end to Shell activities in the Niger Delta. In January 1998, a massive oil spill from Mobil installations attracted over one million claims for compensation from individuals and communities. Out of these, Mobil accepted only 106,000 claims.</w:t>
      </w:r>
    </w:p>
    <w:p w14:paraId="354D686A" w14:textId="77777777" w:rsidR="008D1C31" w:rsidRPr="00225669" w:rsidRDefault="008D1C31" w:rsidP="00137DFE">
      <w:pPr>
        <w:jc w:val="both"/>
        <w:rPr>
          <w:rFonts w:cs="Arial"/>
        </w:rPr>
      </w:pPr>
    </w:p>
    <w:p w14:paraId="75AB68B2" w14:textId="0EBCAA13" w:rsidR="008D1C31" w:rsidRPr="00225669" w:rsidRDefault="008D1C31" w:rsidP="00137DFE">
      <w:pPr>
        <w:jc w:val="both"/>
        <w:rPr>
          <w:rFonts w:cs="Arial"/>
        </w:rPr>
      </w:pPr>
      <w:r w:rsidRPr="00225669">
        <w:rPr>
          <w:rFonts w:cs="Arial"/>
        </w:rPr>
        <w:t xml:space="preserve">Apart from oil spills, there have been other far-reaching environmental damages. To illustrate, </w:t>
      </w:r>
      <w:r w:rsidR="00E776DF" w:rsidRPr="00225669">
        <w:rPr>
          <w:rFonts w:cs="Arial"/>
        </w:rPr>
        <w:t xml:space="preserve">Ledum </w:t>
      </w:r>
      <w:r w:rsidRPr="00225669">
        <w:rPr>
          <w:rFonts w:cs="Arial"/>
        </w:rPr>
        <w:t>Mitee</w:t>
      </w:r>
      <w:r w:rsidR="00E776DF" w:rsidRPr="00225669">
        <w:rPr>
          <w:rFonts w:cs="Arial"/>
        </w:rPr>
        <w:t>, an environmental activist,</w:t>
      </w:r>
      <w:r w:rsidRPr="00225669">
        <w:rPr>
          <w:rFonts w:cs="Arial"/>
        </w:rPr>
        <w:t xml:space="preserve"> reports that in the Ogoni town of Dere, Shell constructed a narrow road through the town to link its oil wells,</w:t>
      </w:r>
      <w:r w:rsidR="00E776DF" w:rsidRPr="00225669">
        <w:rPr>
          <w:rFonts w:cs="Arial"/>
        </w:rPr>
        <w:t xml:space="preserve"> and this construction </w:t>
      </w:r>
      <w:r w:rsidRPr="00225669">
        <w:rPr>
          <w:rFonts w:cs="Arial"/>
        </w:rPr>
        <w:t>completely destroyed the drainage system of the town leading to sever</w:t>
      </w:r>
      <w:r w:rsidR="006F6A87" w:rsidRPr="00225669">
        <w:rPr>
          <w:rFonts w:cs="Arial"/>
        </w:rPr>
        <w:t>e</w:t>
      </w:r>
      <w:r w:rsidRPr="00225669">
        <w:rPr>
          <w:rFonts w:cs="Arial"/>
        </w:rPr>
        <w:t xml:space="preserve"> flooding. In Gbaran, Shell also constructed a road to link its installations with a major road from Yenagoa to Mbiama. As a result, water flow to a large section of timberland was cut off and 1,000 acres of forest simply atrophied and died. In addition, gas flaring by major oil companies like Shell, Agip, Mobil and Elf is said to release 35 million tonnes of carbon dioxide and 12 million tonnes of methane into the atmosphere annually. In November 1983 alone, Shell flared over 483 million cubic metres of gas from its oil we</w:t>
      </w:r>
      <w:r w:rsidR="006F6A87" w:rsidRPr="00225669">
        <w:rPr>
          <w:rFonts w:cs="Arial"/>
        </w:rPr>
        <w:t>lls at temperatures up to 1,400</w:t>
      </w:r>
      <w:r w:rsidRPr="00225669">
        <w:rPr>
          <w:rFonts w:cs="Arial"/>
          <w:vertAlign w:val="superscript"/>
        </w:rPr>
        <w:t>C</w:t>
      </w:r>
      <w:r w:rsidRPr="00225669">
        <w:rPr>
          <w:rFonts w:cs="Arial"/>
        </w:rPr>
        <w:t>.</w:t>
      </w:r>
      <w:r w:rsidRPr="00225669">
        <w:rPr>
          <w:rFonts w:cs="Arial"/>
          <w:vertAlign w:val="superscript"/>
        </w:rPr>
        <w:footnoteReference w:id="28"/>
      </w:r>
      <w:r w:rsidRPr="00225669">
        <w:rPr>
          <w:rFonts w:cs="Arial"/>
        </w:rPr>
        <w:t xml:space="preserve"> Ironically, oil companies pay a paltry surcharge for the huge environmental and human damages that result from gas flaring. In 2003 and 2004, for instance, oil companies paid $16 million and $15 million respectively as gas flaring penalty.</w:t>
      </w:r>
      <w:r w:rsidRPr="00225669">
        <w:rPr>
          <w:rFonts w:cs="Arial"/>
          <w:vertAlign w:val="superscript"/>
        </w:rPr>
        <w:footnoteReference w:id="29"/>
      </w:r>
      <w:r w:rsidRPr="00225669">
        <w:rPr>
          <w:rFonts w:cs="Arial"/>
        </w:rPr>
        <w:t xml:space="preserve"> Consequently, there is no real incentive for them to terminate gas flaring as they have repeatedly promised but failed to keep. Situations like this create doubts in the minds of local communities about the commitment of oil companies to corporate social responsibility beyond image making and political correctness.</w:t>
      </w:r>
    </w:p>
    <w:p w14:paraId="4BDC6BBA" w14:textId="77777777" w:rsidR="008D1C31" w:rsidRPr="00225669" w:rsidRDefault="008D1C31" w:rsidP="00137DFE">
      <w:pPr>
        <w:jc w:val="both"/>
        <w:rPr>
          <w:rFonts w:cs="Arial"/>
        </w:rPr>
      </w:pPr>
    </w:p>
    <w:p w14:paraId="621D8A2C" w14:textId="73740B25" w:rsidR="008D1C31" w:rsidRPr="00225669" w:rsidRDefault="008D1C31" w:rsidP="00137DFE">
      <w:pPr>
        <w:jc w:val="both"/>
        <w:rPr>
          <w:rFonts w:cs="Arial"/>
        </w:rPr>
      </w:pPr>
      <w:r w:rsidRPr="00225669">
        <w:rPr>
          <w:rFonts w:cs="Arial"/>
        </w:rPr>
        <w:t>It was in the context of this ecological and socio-economic devastation that the United Nations Environmental Programme (UNEP), at the request of the Federal Government</w:t>
      </w:r>
      <w:r w:rsidR="00E776DF" w:rsidRPr="00225669">
        <w:rPr>
          <w:rFonts w:cs="Arial"/>
        </w:rPr>
        <w:t xml:space="preserve"> of Nigeria</w:t>
      </w:r>
      <w:r w:rsidRPr="00225669">
        <w:rPr>
          <w:rFonts w:cs="Arial"/>
        </w:rPr>
        <w:t xml:space="preserve">, conducted an independent assessment of the environment and public health impacts of oil contamination in Ogoniland and offered options for remediation. The assessment was commissioned in 2009 and the report was published in 2011. It took a full year before the government announced that it planned to implement the Report, and even at that the announcement was </w:t>
      </w:r>
      <w:r w:rsidR="00E776DF" w:rsidRPr="00225669">
        <w:rPr>
          <w:rFonts w:cs="Arial"/>
        </w:rPr>
        <w:t xml:space="preserve">to </w:t>
      </w:r>
      <w:r w:rsidRPr="00225669">
        <w:rPr>
          <w:rFonts w:cs="Arial"/>
        </w:rPr>
        <w:t>“calm frayed nerves in Ogoniland”.</w:t>
      </w:r>
      <w:r w:rsidRPr="00225669">
        <w:rPr>
          <w:rFonts w:cs="Arial"/>
          <w:vertAlign w:val="superscript"/>
        </w:rPr>
        <w:footnoteReference w:id="30"/>
      </w:r>
      <w:r w:rsidRPr="00225669">
        <w:rPr>
          <w:rFonts w:cs="Arial"/>
        </w:rPr>
        <w:t xml:space="preserve">  According to Nnimmo Bassey of the Environmental Rights Action/Friends of the Earth Nigeria (ERA/FoEN), the government dallied for one year and came up with an “aligned” and “harmonized” report for implementation.</w:t>
      </w:r>
      <w:r w:rsidRPr="00225669">
        <w:rPr>
          <w:rFonts w:cs="Arial"/>
          <w:vertAlign w:val="superscript"/>
        </w:rPr>
        <w:footnoteReference w:id="31"/>
      </w:r>
      <w:r w:rsidRPr="00225669">
        <w:rPr>
          <w:rFonts w:cs="Arial"/>
        </w:rPr>
        <w:t xml:space="preserve"> Under the auspices of the Ministry of Petroleum</w:t>
      </w:r>
      <w:r w:rsidR="006F6A87" w:rsidRPr="00225669">
        <w:rPr>
          <w:rFonts w:cs="Arial"/>
        </w:rPr>
        <w:t xml:space="preserve"> Resources</w:t>
      </w:r>
      <w:r w:rsidRPr="00225669">
        <w:rPr>
          <w:rFonts w:cs="Arial"/>
        </w:rPr>
        <w:t>, the Hydrocarbons Pollution Remediation Project (HYPREP) was established in 2012 to implement the so-called harmonized report. The entire process has been widely critici</w:t>
      </w:r>
      <w:r w:rsidR="00E776DF" w:rsidRPr="00225669">
        <w:rPr>
          <w:rFonts w:cs="Arial"/>
        </w:rPr>
        <w:t>s</w:t>
      </w:r>
      <w:r w:rsidRPr="00225669">
        <w:rPr>
          <w:rFonts w:cs="Arial"/>
        </w:rPr>
        <w:t>ed for the seeming lack of commitment of the government to clean up Ogoniland. HYP</w:t>
      </w:r>
      <w:r w:rsidR="006F6A87" w:rsidRPr="00225669">
        <w:rPr>
          <w:rFonts w:cs="Arial"/>
        </w:rPr>
        <w:t>R</w:t>
      </w:r>
      <w:r w:rsidRPr="00225669">
        <w:rPr>
          <w:rFonts w:cs="Arial"/>
        </w:rPr>
        <w:t>EP has been variously described as ”hype” and a “mere gimmick”.</w:t>
      </w:r>
      <w:r w:rsidRPr="00225669">
        <w:rPr>
          <w:rFonts w:cs="Arial"/>
          <w:vertAlign w:val="superscript"/>
        </w:rPr>
        <w:footnoteReference w:id="32"/>
      </w:r>
      <w:r w:rsidR="00E776DF" w:rsidRPr="00225669">
        <w:rPr>
          <w:rFonts w:cs="Arial"/>
        </w:rPr>
        <w:t xml:space="preserve"> </w:t>
      </w:r>
      <w:r w:rsidRPr="00225669">
        <w:rPr>
          <w:rFonts w:cs="Arial"/>
        </w:rPr>
        <w:t xml:space="preserve">In August 2015, the Federal Government approved a $10 million </w:t>
      </w:r>
      <w:r w:rsidR="00E8736C" w:rsidRPr="00225669">
        <w:rPr>
          <w:rFonts w:cs="Arial"/>
        </w:rPr>
        <w:t>take-off</w:t>
      </w:r>
      <w:r w:rsidRPr="00225669">
        <w:rPr>
          <w:rFonts w:cs="Arial"/>
        </w:rPr>
        <w:t xml:space="preserve"> grant for HYPREP.</w:t>
      </w:r>
    </w:p>
    <w:p w14:paraId="224A9E64" w14:textId="77777777" w:rsidR="008D1C31" w:rsidRPr="00225669" w:rsidRDefault="008D1C31" w:rsidP="00137DFE">
      <w:pPr>
        <w:jc w:val="both"/>
        <w:rPr>
          <w:rFonts w:cs="Arial"/>
        </w:rPr>
      </w:pPr>
    </w:p>
    <w:p w14:paraId="23AB2517" w14:textId="3278CD88" w:rsidR="008D1C31" w:rsidRPr="00225669" w:rsidRDefault="008D1C31" w:rsidP="00137DFE">
      <w:pPr>
        <w:jc w:val="both"/>
        <w:rPr>
          <w:rFonts w:cs="Arial"/>
        </w:rPr>
      </w:pPr>
      <w:r w:rsidRPr="00225669">
        <w:rPr>
          <w:rFonts w:cs="Arial"/>
        </w:rPr>
        <w:t xml:space="preserve">The functioning of HYPREP has been far removed from public eyes, which has </w:t>
      </w:r>
      <w:r w:rsidR="00E8736C" w:rsidRPr="00225669">
        <w:rPr>
          <w:rFonts w:cs="Arial"/>
        </w:rPr>
        <w:t>fuelled</w:t>
      </w:r>
      <w:r w:rsidRPr="00225669">
        <w:rPr>
          <w:rFonts w:cs="Arial"/>
        </w:rPr>
        <w:t xml:space="preserve"> speculations that it is yet another conduit for syphoning public funds. It is widely believed that contracts have already been awarded that </w:t>
      </w:r>
      <w:r w:rsidR="00E776DF" w:rsidRPr="00225669">
        <w:rPr>
          <w:rFonts w:cs="Arial"/>
        </w:rPr>
        <w:t xml:space="preserve">were </w:t>
      </w:r>
      <w:r w:rsidRPr="00225669">
        <w:rPr>
          <w:rFonts w:cs="Arial"/>
        </w:rPr>
        <w:t>not in line with the recommendations of the UNEP Report. Moreover, the Ogoni communities have not been involved in the workings of HYPREP, raising concerns of another rift between the communities and government over the remediation scheme.</w:t>
      </w:r>
    </w:p>
    <w:p w14:paraId="77BAB71F" w14:textId="77777777" w:rsidR="00F26E46" w:rsidRPr="00225669" w:rsidRDefault="00F26E46" w:rsidP="00137DFE">
      <w:pPr>
        <w:spacing w:line="360" w:lineRule="auto"/>
        <w:jc w:val="both"/>
        <w:rPr>
          <w:rFonts w:cs="Arial"/>
        </w:rPr>
      </w:pPr>
    </w:p>
    <w:p w14:paraId="51102350" w14:textId="77777777" w:rsidR="00F26E46" w:rsidRPr="00225669" w:rsidRDefault="00E43652" w:rsidP="00137DFE">
      <w:pPr>
        <w:pStyle w:val="Heading2"/>
        <w:rPr>
          <w:rFonts w:ascii="Arial" w:hAnsi="Arial" w:cs="Arial"/>
        </w:rPr>
      </w:pPr>
      <w:bookmarkStart w:id="23" w:name="_Toc311709496"/>
      <w:r w:rsidRPr="00225669">
        <w:rPr>
          <w:rFonts w:ascii="Arial" w:hAnsi="Arial" w:cs="Arial"/>
        </w:rPr>
        <w:t xml:space="preserve">Presidential </w:t>
      </w:r>
      <w:r w:rsidR="00F26E46" w:rsidRPr="00225669">
        <w:rPr>
          <w:rFonts w:ascii="Arial" w:hAnsi="Arial" w:cs="Arial"/>
        </w:rPr>
        <w:t>Amnesty Programme</w:t>
      </w:r>
      <w:bookmarkEnd w:id="23"/>
    </w:p>
    <w:p w14:paraId="7327820F" w14:textId="2636DC40" w:rsidR="00F26E46" w:rsidRPr="00225669" w:rsidRDefault="00F26E46" w:rsidP="00137DFE">
      <w:pPr>
        <w:pStyle w:val="Summary"/>
        <w:rPr>
          <w:color w:val="auto"/>
        </w:rPr>
      </w:pPr>
      <w:r w:rsidRPr="00225669">
        <w:rPr>
          <w:color w:val="auto"/>
        </w:rPr>
        <w:t xml:space="preserve">On June 25, 2009, President Umaru Yar’Adua granted amnesty to all agitators in the Niger Delta who were willing to denounce violence and reintegrate into civil society. The Presidential Amnesty Programme was set up to design and coordinate the disarmament, demobilisation, and reintegration of these ex-agitators. From inception until today, government has allocated about </w:t>
      </w:r>
      <w:r w:rsidRPr="00225669">
        <w:rPr>
          <w:dstrike/>
          <w:color w:val="auto"/>
        </w:rPr>
        <w:t>N</w:t>
      </w:r>
      <w:r w:rsidRPr="00225669">
        <w:rPr>
          <w:bCs/>
          <w:color w:val="auto"/>
        </w:rPr>
        <w:t>0.2</w:t>
      </w:r>
      <w:r w:rsidR="00E8736C" w:rsidRPr="00225669">
        <w:rPr>
          <w:bCs/>
          <w:color w:val="auto"/>
        </w:rPr>
        <w:t>7</w:t>
      </w:r>
      <w:r w:rsidRPr="00225669">
        <w:rPr>
          <w:bCs/>
          <w:color w:val="auto"/>
        </w:rPr>
        <w:t xml:space="preserve"> trillion to the programme to train beneficiaries from the Niger Delta region. The beneficiari</w:t>
      </w:r>
      <w:r w:rsidR="006F6A87" w:rsidRPr="00225669">
        <w:rPr>
          <w:bCs/>
          <w:color w:val="auto"/>
        </w:rPr>
        <w:t>es of the programme include leaders (“G</w:t>
      </w:r>
      <w:r w:rsidRPr="00225669">
        <w:rPr>
          <w:bCs/>
          <w:color w:val="auto"/>
        </w:rPr>
        <w:t>enerals</w:t>
      </w:r>
      <w:r w:rsidR="006F6A87" w:rsidRPr="00225669">
        <w:rPr>
          <w:bCs/>
          <w:color w:val="auto"/>
        </w:rPr>
        <w:t>”)</w:t>
      </w:r>
      <w:r w:rsidRPr="00225669">
        <w:rPr>
          <w:bCs/>
          <w:color w:val="auto"/>
        </w:rPr>
        <w:t xml:space="preserve"> of the various militants groups, 30,000 ex-agitators and 5,000 youths from </w:t>
      </w:r>
      <w:r w:rsidR="006F6A87" w:rsidRPr="00225669">
        <w:rPr>
          <w:bCs/>
          <w:color w:val="auto"/>
        </w:rPr>
        <w:t>violence-</w:t>
      </w:r>
      <w:r w:rsidRPr="00225669">
        <w:rPr>
          <w:bCs/>
          <w:color w:val="auto"/>
        </w:rPr>
        <w:t>impacted communities.</w:t>
      </w:r>
      <w:r w:rsidRPr="00225669">
        <w:rPr>
          <w:color w:val="auto"/>
        </w:rPr>
        <w:t xml:space="preserve"> The programme is widely regarded to have been successful in its core mandate of stabilising the security situation in the Niger Delta as a pre-condition for development of the region.</w:t>
      </w:r>
    </w:p>
    <w:p w14:paraId="4DB57D06" w14:textId="77777777" w:rsidR="00F26E46" w:rsidRPr="00225669" w:rsidRDefault="00F26E46" w:rsidP="00137DFE">
      <w:pPr>
        <w:pStyle w:val="Summary"/>
        <w:rPr>
          <w:color w:val="auto"/>
        </w:rPr>
      </w:pPr>
    </w:p>
    <w:p w14:paraId="468A2785" w14:textId="3CEEF44E" w:rsidR="00F26E46" w:rsidRPr="00225669" w:rsidRDefault="00F26E46" w:rsidP="00137DFE">
      <w:pPr>
        <w:pStyle w:val="Summary"/>
        <w:rPr>
          <w:color w:val="auto"/>
        </w:rPr>
      </w:pPr>
      <w:r w:rsidRPr="00225669">
        <w:rPr>
          <w:color w:val="auto"/>
        </w:rPr>
        <w:t xml:space="preserve">Detailed analysis on this programme is provided in Chapter 6 as a case study given the availability of greater access to information on the </w:t>
      </w:r>
      <w:r w:rsidR="00E8736C" w:rsidRPr="00225669">
        <w:rPr>
          <w:color w:val="auto"/>
        </w:rPr>
        <w:t>programme, which</w:t>
      </w:r>
      <w:r w:rsidRPr="00225669">
        <w:rPr>
          <w:color w:val="auto"/>
        </w:rPr>
        <w:t xml:space="preserve"> was obtained while working on </w:t>
      </w:r>
      <w:r w:rsidR="00D852FD" w:rsidRPr="00225669">
        <w:rPr>
          <w:color w:val="auto"/>
        </w:rPr>
        <w:t>a</w:t>
      </w:r>
      <w:r w:rsidRPr="00225669">
        <w:rPr>
          <w:color w:val="auto"/>
        </w:rPr>
        <w:t xml:space="preserve"> </w:t>
      </w:r>
      <w:r w:rsidR="00D852FD" w:rsidRPr="00225669">
        <w:rPr>
          <w:color w:val="auto"/>
        </w:rPr>
        <w:t xml:space="preserve">project, </w:t>
      </w:r>
      <w:r w:rsidR="00E8736C" w:rsidRPr="00225669">
        <w:rPr>
          <w:i/>
          <w:color w:val="auto"/>
        </w:rPr>
        <w:t>T</w:t>
      </w:r>
      <w:r w:rsidRPr="00225669">
        <w:rPr>
          <w:i/>
          <w:color w:val="auto"/>
        </w:rPr>
        <w:t xml:space="preserve">ransition </w:t>
      </w:r>
      <w:r w:rsidR="00E8736C" w:rsidRPr="00225669">
        <w:rPr>
          <w:i/>
          <w:color w:val="auto"/>
        </w:rPr>
        <w:t>S</w:t>
      </w:r>
      <w:r w:rsidRPr="00225669">
        <w:rPr>
          <w:i/>
          <w:color w:val="auto"/>
        </w:rPr>
        <w:t xml:space="preserve">trategy for the </w:t>
      </w:r>
      <w:r w:rsidR="00E8736C" w:rsidRPr="00225669">
        <w:rPr>
          <w:i/>
          <w:color w:val="auto"/>
        </w:rPr>
        <w:t xml:space="preserve">Presidential </w:t>
      </w:r>
      <w:r w:rsidRPr="00225669">
        <w:rPr>
          <w:i/>
          <w:color w:val="auto"/>
        </w:rPr>
        <w:t xml:space="preserve">Amnesty </w:t>
      </w:r>
      <w:r w:rsidR="00D852FD" w:rsidRPr="00225669">
        <w:rPr>
          <w:i/>
          <w:color w:val="auto"/>
        </w:rPr>
        <w:t>P</w:t>
      </w:r>
      <w:r w:rsidRPr="00225669">
        <w:rPr>
          <w:i/>
          <w:color w:val="auto"/>
        </w:rPr>
        <w:t>rogramme</w:t>
      </w:r>
      <w:r w:rsidRPr="00225669">
        <w:rPr>
          <w:color w:val="auto"/>
        </w:rPr>
        <w:t xml:space="preserve">. </w:t>
      </w:r>
    </w:p>
    <w:p w14:paraId="4ED22CFC" w14:textId="77777777" w:rsidR="008D1C31" w:rsidRPr="00225669" w:rsidRDefault="008D1C31" w:rsidP="00137DFE">
      <w:pPr>
        <w:jc w:val="both"/>
        <w:rPr>
          <w:rFonts w:cs="Arial"/>
        </w:rPr>
      </w:pPr>
    </w:p>
    <w:p w14:paraId="7014ACA4" w14:textId="368E0EC9" w:rsidR="00730059" w:rsidRPr="00225669" w:rsidRDefault="008D1C31" w:rsidP="00137DFE">
      <w:pPr>
        <w:pStyle w:val="Heading2"/>
        <w:rPr>
          <w:rFonts w:ascii="Arial" w:hAnsi="Arial" w:cs="Arial"/>
        </w:rPr>
      </w:pPr>
      <w:bookmarkStart w:id="24" w:name="_Toc311709497"/>
      <w:r w:rsidRPr="00225669">
        <w:rPr>
          <w:rFonts w:ascii="Arial" w:hAnsi="Arial" w:cs="Arial"/>
        </w:rPr>
        <w:t xml:space="preserve">Preliminary </w:t>
      </w:r>
      <w:r w:rsidR="00E8736C" w:rsidRPr="00225669">
        <w:rPr>
          <w:rFonts w:ascii="Arial" w:hAnsi="Arial" w:cs="Arial"/>
        </w:rPr>
        <w:t>C</w:t>
      </w:r>
      <w:r w:rsidRPr="00225669">
        <w:rPr>
          <w:rFonts w:ascii="Arial" w:hAnsi="Arial" w:cs="Arial"/>
        </w:rPr>
        <w:t xml:space="preserve">onclusions and </w:t>
      </w:r>
      <w:r w:rsidR="00E8736C" w:rsidRPr="00225669">
        <w:rPr>
          <w:rFonts w:ascii="Arial" w:hAnsi="Arial" w:cs="Arial"/>
        </w:rPr>
        <w:t>W</w:t>
      </w:r>
      <w:r w:rsidRPr="00225669">
        <w:rPr>
          <w:rFonts w:ascii="Arial" w:hAnsi="Arial" w:cs="Arial"/>
        </w:rPr>
        <w:t xml:space="preserve">ay </w:t>
      </w:r>
      <w:r w:rsidR="00E8736C" w:rsidRPr="00225669">
        <w:rPr>
          <w:rFonts w:ascii="Arial" w:hAnsi="Arial" w:cs="Arial"/>
        </w:rPr>
        <w:t>F</w:t>
      </w:r>
      <w:r w:rsidRPr="00225669">
        <w:rPr>
          <w:rFonts w:ascii="Arial" w:hAnsi="Arial" w:cs="Arial"/>
        </w:rPr>
        <w:t>orward</w:t>
      </w:r>
      <w:bookmarkEnd w:id="24"/>
    </w:p>
    <w:p w14:paraId="642FFB66" w14:textId="05DF3154" w:rsidR="008D1C31" w:rsidRPr="00225669" w:rsidRDefault="008D1C31" w:rsidP="00137DFE">
      <w:pPr>
        <w:jc w:val="both"/>
        <w:rPr>
          <w:rFonts w:cs="Arial"/>
        </w:rPr>
      </w:pPr>
      <w:r w:rsidRPr="00225669">
        <w:rPr>
          <w:rFonts w:cs="Arial"/>
        </w:rPr>
        <w:t xml:space="preserve">The high stake contestation over how to return oil revenues to Niger Delta communities is what frames the longstanding disputes and debates on resource control in Nigeria. In all the disputes, however, one thing on which all sides seem to agree is that there is need for more resources from </w:t>
      </w:r>
      <w:r w:rsidR="001E6432" w:rsidRPr="00225669">
        <w:rPr>
          <w:rFonts w:cs="Arial"/>
        </w:rPr>
        <w:t xml:space="preserve">the sale of the crude </w:t>
      </w:r>
      <w:r w:rsidRPr="00225669">
        <w:rPr>
          <w:rFonts w:cs="Arial"/>
        </w:rPr>
        <w:t xml:space="preserve">oil and gas to return to local communities from which they are derived, not only for the sake of equity, but also because of the need to redress the negative social and environmental consequences of oil and gas extraction for those communities. In recent times, </w:t>
      </w:r>
      <w:r w:rsidR="00795BE8" w:rsidRPr="00225669">
        <w:rPr>
          <w:rFonts w:cs="Arial"/>
        </w:rPr>
        <w:t>government has established several agencies to achieve this</w:t>
      </w:r>
      <w:r w:rsidR="001E6432" w:rsidRPr="00225669">
        <w:rPr>
          <w:rFonts w:cs="Arial"/>
        </w:rPr>
        <w:t xml:space="preserve"> objective</w:t>
      </w:r>
      <w:r w:rsidR="00795BE8" w:rsidRPr="00225669">
        <w:rPr>
          <w:rFonts w:cs="Arial"/>
        </w:rPr>
        <w:t>, particularly NDDC, Presidential Amnesty Programme, Ministry of Niger Delta Affairs, and HYPREP</w:t>
      </w:r>
      <w:r w:rsidRPr="00225669">
        <w:rPr>
          <w:rFonts w:cs="Arial"/>
        </w:rPr>
        <w:t>.</w:t>
      </w:r>
    </w:p>
    <w:p w14:paraId="1FCC6095" w14:textId="77777777" w:rsidR="008D1C31" w:rsidRPr="00225669" w:rsidRDefault="008D1C31" w:rsidP="00137DFE">
      <w:pPr>
        <w:jc w:val="both"/>
        <w:rPr>
          <w:rFonts w:cs="Arial"/>
        </w:rPr>
      </w:pPr>
    </w:p>
    <w:p w14:paraId="7EA1F683" w14:textId="16C73801" w:rsidR="008D1C31" w:rsidRPr="00225669" w:rsidRDefault="0010433D" w:rsidP="00137DFE">
      <w:pPr>
        <w:jc w:val="both"/>
        <w:rPr>
          <w:rFonts w:cs="Arial"/>
        </w:rPr>
      </w:pPr>
      <w:r w:rsidRPr="00225669">
        <w:rPr>
          <w:rFonts w:cs="Arial"/>
        </w:rPr>
        <w:t>A number of issues standout while analysing</w:t>
      </w:r>
      <w:r w:rsidR="008D1C31" w:rsidRPr="00225669">
        <w:rPr>
          <w:rFonts w:cs="Arial"/>
        </w:rPr>
        <w:t xml:space="preserve"> existing frameworks for </w:t>
      </w:r>
      <w:r w:rsidRPr="00225669">
        <w:rPr>
          <w:rFonts w:cs="Arial"/>
        </w:rPr>
        <w:t xml:space="preserve">allocating </w:t>
      </w:r>
      <w:r w:rsidR="008D1C31" w:rsidRPr="00225669">
        <w:rPr>
          <w:rFonts w:cs="Arial"/>
        </w:rPr>
        <w:t>funds to the Niger Delta</w:t>
      </w:r>
      <w:r w:rsidRPr="00225669">
        <w:rPr>
          <w:rFonts w:cs="Arial"/>
        </w:rPr>
        <w:t xml:space="preserve"> region</w:t>
      </w:r>
      <w:r w:rsidR="008D1C31" w:rsidRPr="00225669">
        <w:rPr>
          <w:rFonts w:cs="Arial"/>
        </w:rPr>
        <w:t xml:space="preserve">. First, the workings of these agencies are too top-down, whereby their projects are either handed down or arrived at without </w:t>
      </w:r>
      <w:r w:rsidR="003D3234" w:rsidRPr="00225669">
        <w:rPr>
          <w:rFonts w:cs="Arial"/>
        </w:rPr>
        <w:t xml:space="preserve">meaningful </w:t>
      </w:r>
      <w:r w:rsidR="008D1C31" w:rsidRPr="00225669">
        <w:rPr>
          <w:rFonts w:cs="Arial"/>
        </w:rPr>
        <w:t>consult</w:t>
      </w:r>
      <w:r w:rsidR="003D3234" w:rsidRPr="00225669">
        <w:rPr>
          <w:rFonts w:cs="Arial"/>
        </w:rPr>
        <w:t>ations with the</w:t>
      </w:r>
      <w:r w:rsidR="001E6432" w:rsidRPr="00225669">
        <w:rPr>
          <w:rFonts w:cs="Arial"/>
        </w:rPr>
        <w:t xml:space="preserve"> communities. A more-</w:t>
      </w:r>
      <w:r w:rsidR="0061211F" w:rsidRPr="00225669">
        <w:rPr>
          <w:rFonts w:cs="Arial"/>
        </w:rPr>
        <w:t>participatory</w:t>
      </w:r>
      <w:r w:rsidR="008D1C31" w:rsidRPr="00225669">
        <w:rPr>
          <w:rFonts w:cs="Arial"/>
        </w:rPr>
        <w:t xml:space="preserve"> framework is required for all these agencies, particularly the NDDC, which remains the main speciali</w:t>
      </w:r>
      <w:r w:rsidR="003D3234" w:rsidRPr="00225669">
        <w:rPr>
          <w:rFonts w:cs="Arial"/>
        </w:rPr>
        <w:t>s</w:t>
      </w:r>
      <w:r w:rsidR="008D1C31" w:rsidRPr="00225669">
        <w:rPr>
          <w:rFonts w:cs="Arial"/>
        </w:rPr>
        <w:t>ed agency for developing the Niger Delta. Second, the</w:t>
      </w:r>
      <w:r w:rsidR="003D3234" w:rsidRPr="00225669">
        <w:rPr>
          <w:rFonts w:cs="Arial"/>
        </w:rPr>
        <w:t xml:space="preserve"> intervention agencies </w:t>
      </w:r>
      <w:r w:rsidR="008D1C31" w:rsidRPr="00225669">
        <w:rPr>
          <w:rFonts w:cs="Arial"/>
        </w:rPr>
        <w:t xml:space="preserve">seem to be </w:t>
      </w:r>
      <w:r w:rsidR="003D3234" w:rsidRPr="00225669">
        <w:rPr>
          <w:rFonts w:cs="Arial"/>
        </w:rPr>
        <w:t xml:space="preserve">more </w:t>
      </w:r>
      <w:r w:rsidR="008D1C31" w:rsidRPr="00225669">
        <w:rPr>
          <w:rFonts w:cs="Arial"/>
        </w:rPr>
        <w:t>oriented towards achieving politi</w:t>
      </w:r>
      <w:r w:rsidR="001E6432" w:rsidRPr="00225669">
        <w:rPr>
          <w:rFonts w:cs="Arial"/>
        </w:rPr>
        <w:t>cal purposes, rather than ensuring real</w:t>
      </w:r>
      <w:r w:rsidR="008D1C31" w:rsidRPr="00225669">
        <w:rPr>
          <w:rFonts w:cs="Arial"/>
        </w:rPr>
        <w:t xml:space="preserve"> develop</w:t>
      </w:r>
      <w:r w:rsidR="001E6432" w:rsidRPr="00225669">
        <w:rPr>
          <w:rFonts w:cs="Arial"/>
        </w:rPr>
        <w:t>ment of</w:t>
      </w:r>
      <w:r w:rsidR="008D1C31" w:rsidRPr="00225669">
        <w:rPr>
          <w:rFonts w:cs="Arial"/>
        </w:rPr>
        <w:t xml:space="preserve"> the region. Third, there are too many overlaps in their activities and the public hardly gets value for money. Fourth, the</w:t>
      </w:r>
      <w:r w:rsidR="001E6432" w:rsidRPr="00225669">
        <w:rPr>
          <w:rFonts w:cs="Arial"/>
        </w:rPr>
        <w:t xml:space="preserve">se agencies </w:t>
      </w:r>
      <w:r w:rsidR="008D1C31" w:rsidRPr="00225669">
        <w:rPr>
          <w:rFonts w:cs="Arial"/>
        </w:rPr>
        <w:t>are highly bureaucrati</w:t>
      </w:r>
      <w:r w:rsidR="003D3234" w:rsidRPr="00225669">
        <w:rPr>
          <w:rFonts w:cs="Arial"/>
        </w:rPr>
        <w:t>s</w:t>
      </w:r>
      <w:r w:rsidR="008D1C31" w:rsidRPr="00225669">
        <w:rPr>
          <w:rFonts w:cs="Arial"/>
        </w:rPr>
        <w:t>ed, characteri</w:t>
      </w:r>
      <w:r w:rsidR="003D3234" w:rsidRPr="00225669">
        <w:rPr>
          <w:rFonts w:cs="Arial"/>
        </w:rPr>
        <w:t>s</w:t>
      </w:r>
      <w:r w:rsidR="008D1C31" w:rsidRPr="00225669">
        <w:rPr>
          <w:rFonts w:cs="Arial"/>
        </w:rPr>
        <w:t>ed by delays, waste and excessive overhead expenditures. Fifth, it is widely agreed that corruption in many of these organi</w:t>
      </w:r>
      <w:r w:rsidR="003D3234" w:rsidRPr="00225669">
        <w:rPr>
          <w:rFonts w:cs="Arial"/>
        </w:rPr>
        <w:t>s</w:t>
      </w:r>
      <w:r w:rsidR="008D1C31" w:rsidRPr="00225669">
        <w:rPr>
          <w:rFonts w:cs="Arial"/>
        </w:rPr>
        <w:t xml:space="preserve">ations mean that huge funds allocated to them only end up in private pockets. Sixth, they bypass the wealth of traditional knowledge and institutions for social provisioning, which could provide more reliable and democratic means of funding project in communities. </w:t>
      </w:r>
      <w:r w:rsidR="00782148" w:rsidRPr="00225669">
        <w:rPr>
          <w:rFonts w:cs="Arial"/>
        </w:rPr>
        <w:t>The c</w:t>
      </w:r>
      <w:r w:rsidR="008D1C31" w:rsidRPr="00225669">
        <w:rPr>
          <w:rFonts w:cs="Arial"/>
        </w:rPr>
        <w:t xml:space="preserve">ontinued dependence </w:t>
      </w:r>
      <w:r w:rsidR="00634E84" w:rsidRPr="00225669">
        <w:rPr>
          <w:rFonts w:cs="Arial"/>
        </w:rPr>
        <w:t xml:space="preserve">on </w:t>
      </w:r>
      <w:r w:rsidR="001E6432" w:rsidRPr="00225669">
        <w:rPr>
          <w:rFonts w:cs="Arial"/>
        </w:rPr>
        <w:t xml:space="preserve">major </w:t>
      </w:r>
      <w:r w:rsidR="00634E84" w:rsidRPr="00225669">
        <w:rPr>
          <w:rFonts w:cs="Arial"/>
        </w:rPr>
        <w:t>contractors</w:t>
      </w:r>
      <w:r w:rsidR="008D1C31" w:rsidRPr="00225669">
        <w:rPr>
          <w:rFonts w:cs="Arial"/>
        </w:rPr>
        <w:t xml:space="preserve"> even for projects that local communities can </w:t>
      </w:r>
      <w:r w:rsidR="00782148" w:rsidRPr="00225669">
        <w:rPr>
          <w:rFonts w:cs="Arial"/>
        </w:rPr>
        <w:t>execute</w:t>
      </w:r>
      <w:r w:rsidR="008D1C31" w:rsidRPr="00225669">
        <w:rPr>
          <w:rFonts w:cs="Arial"/>
        </w:rPr>
        <w:t xml:space="preserve"> alienates </w:t>
      </w:r>
      <w:r w:rsidR="001E6432" w:rsidRPr="00225669">
        <w:rPr>
          <w:rFonts w:cs="Arial"/>
        </w:rPr>
        <w:t>the latter</w:t>
      </w:r>
      <w:r w:rsidR="008D1C31" w:rsidRPr="00225669">
        <w:rPr>
          <w:rFonts w:cs="Arial"/>
        </w:rPr>
        <w:t xml:space="preserve"> and does not foster transparency and accountability. Seventh, the approach of these agencies tends to throw money at problems, rather than create contexts for sustained engagement among stakeholders as a means of reaching workable solutions that fully involve the communities. Finally, existing frameworks of funding the Niger Delta sometimes work at </w:t>
      </w:r>
      <w:r w:rsidR="003D3234" w:rsidRPr="00225669">
        <w:rPr>
          <w:rFonts w:cs="Arial"/>
        </w:rPr>
        <w:t>cross-purposes</w:t>
      </w:r>
      <w:r w:rsidR="008D1C31" w:rsidRPr="00225669">
        <w:rPr>
          <w:rFonts w:cs="Arial"/>
        </w:rPr>
        <w:t xml:space="preserve"> and there is inadequate harmoni</w:t>
      </w:r>
      <w:r w:rsidR="003D3234" w:rsidRPr="00225669">
        <w:rPr>
          <w:rFonts w:cs="Arial"/>
        </w:rPr>
        <w:t>s</w:t>
      </w:r>
      <w:r w:rsidR="008D1C31" w:rsidRPr="00225669">
        <w:rPr>
          <w:rFonts w:cs="Arial"/>
        </w:rPr>
        <w:t>ation of work. Instead, each agency pursues its own activities, leading to duplication, inappropriate and often poorly executed projects, and waste.</w:t>
      </w:r>
    </w:p>
    <w:p w14:paraId="267AFD3F" w14:textId="77777777" w:rsidR="008D1C31" w:rsidRPr="00225669" w:rsidRDefault="008D1C31" w:rsidP="00137DFE">
      <w:pPr>
        <w:jc w:val="both"/>
        <w:rPr>
          <w:rFonts w:cs="Arial"/>
        </w:rPr>
      </w:pPr>
    </w:p>
    <w:p w14:paraId="575224E4" w14:textId="540EB177" w:rsidR="008D1C31" w:rsidRPr="00225669" w:rsidRDefault="008D1C31" w:rsidP="00137DFE">
      <w:pPr>
        <w:jc w:val="both"/>
        <w:rPr>
          <w:rFonts w:cs="Arial"/>
        </w:rPr>
      </w:pPr>
      <w:r w:rsidRPr="00225669">
        <w:rPr>
          <w:rFonts w:cs="Arial"/>
        </w:rPr>
        <w:t>These gaps in existing frameworks could be filled through community-based trust funds</w:t>
      </w:r>
      <w:r w:rsidR="00782148" w:rsidRPr="00225669">
        <w:rPr>
          <w:rFonts w:cs="Arial"/>
        </w:rPr>
        <w:t xml:space="preserve"> that</w:t>
      </w:r>
      <w:r w:rsidRPr="00225669">
        <w:rPr>
          <w:rFonts w:cs="Arial"/>
        </w:rPr>
        <w:t xml:space="preserve"> refer to funds that are held in trust for all community members. They are built around local institutions and are managed by local people, who are directly selected by communities, but in close consultation </w:t>
      </w:r>
      <w:r w:rsidR="00782148" w:rsidRPr="00225669">
        <w:rPr>
          <w:rFonts w:cs="Arial"/>
        </w:rPr>
        <w:t xml:space="preserve">with or oversight of government, </w:t>
      </w:r>
      <w:r w:rsidRPr="00225669">
        <w:rPr>
          <w:rFonts w:cs="Arial"/>
        </w:rPr>
        <w:t>oil companies</w:t>
      </w:r>
      <w:r w:rsidR="00782148" w:rsidRPr="00225669">
        <w:rPr>
          <w:rFonts w:cs="Arial"/>
        </w:rPr>
        <w:t xml:space="preserve"> or civil society organisations</w:t>
      </w:r>
      <w:r w:rsidRPr="00225669">
        <w:rPr>
          <w:rFonts w:cs="Arial"/>
        </w:rPr>
        <w:t>, depending on the agreed model. Expenditures are planned collectively using existing local structures and accounts are also rendered directly to stakeholders through these structures. The appeal of community trust funds lie</w:t>
      </w:r>
      <w:r w:rsidR="00782148" w:rsidRPr="00225669">
        <w:rPr>
          <w:rFonts w:cs="Arial"/>
        </w:rPr>
        <w:t>s</w:t>
      </w:r>
      <w:r w:rsidRPr="00225669">
        <w:rPr>
          <w:rFonts w:cs="Arial"/>
        </w:rPr>
        <w:t xml:space="preserve"> in the fact that they are bottom-up in organi</w:t>
      </w:r>
      <w:r w:rsidR="003D3234" w:rsidRPr="00225669">
        <w:rPr>
          <w:rFonts w:cs="Arial"/>
        </w:rPr>
        <w:t>s</w:t>
      </w:r>
      <w:r w:rsidRPr="00225669">
        <w:rPr>
          <w:rFonts w:cs="Arial"/>
        </w:rPr>
        <w:t>ation, participatory in decision making and goal-setting, transparent and accounta</w:t>
      </w:r>
      <w:r w:rsidR="006B3A18" w:rsidRPr="00225669">
        <w:rPr>
          <w:rFonts w:cs="Arial"/>
        </w:rPr>
        <w:t xml:space="preserve">ble, as well as very reflexive </w:t>
      </w:r>
      <w:r w:rsidRPr="00225669">
        <w:rPr>
          <w:rFonts w:cs="Arial"/>
        </w:rPr>
        <w:t>in terms of the rapidity of response to local nee</w:t>
      </w:r>
      <w:r w:rsidR="006B3A18" w:rsidRPr="00225669">
        <w:rPr>
          <w:rFonts w:cs="Arial"/>
        </w:rPr>
        <w:t>ds</w:t>
      </w:r>
      <w:r w:rsidRPr="00225669">
        <w:rPr>
          <w:rFonts w:cs="Arial"/>
        </w:rPr>
        <w:t>. Also, community trust funds do not preclude the existence of other tracks of revenue allocation. Instead, it could be integrated into the governmental and corporate (oil companies) mechanisms as the primary structure. For instance, the budgeting process of a local government council could begin by requesting community trust funds to make inputs on the needs of communities</w:t>
      </w:r>
      <w:r w:rsidR="003D3234" w:rsidRPr="00225669">
        <w:rPr>
          <w:rFonts w:cs="Arial"/>
        </w:rPr>
        <w:t>.</w:t>
      </w:r>
      <w:r w:rsidRPr="00225669">
        <w:rPr>
          <w:rFonts w:cs="Arial"/>
        </w:rPr>
        <w:t xml:space="preserve"> </w:t>
      </w:r>
      <w:r w:rsidR="003D3234" w:rsidRPr="00225669">
        <w:rPr>
          <w:rFonts w:cs="Arial"/>
        </w:rPr>
        <w:t>T</w:t>
      </w:r>
      <w:r w:rsidRPr="00225669">
        <w:rPr>
          <w:rFonts w:cs="Arial"/>
        </w:rPr>
        <w:t xml:space="preserve">he NDDC and oil companies could execute local projects through trust fund mechanisms and state governments could give matching grants to effective community trust funds. </w:t>
      </w:r>
    </w:p>
    <w:p w14:paraId="055E11DA" w14:textId="77777777" w:rsidR="008D1C31" w:rsidRPr="00225669" w:rsidRDefault="008D1C31" w:rsidP="00137DFE">
      <w:pPr>
        <w:jc w:val="both"/>
        <w:rPr>
          <w:rFonts w:cs="Arial"/>
        </w:rPr>
      </w:pPr>
    </w:p>
    <w:p w14:paraId="04DF9591" w14:textId="3DCF80FC" w:rsidR="008D1C31" w:rsidRPr="00225669" w:rsidRDefault="008D1C31" w:rsidP="00137DFE">
      <w:pPr>
        <w:jc w:val="both"/>
        <w:rPr>
          <w:rFonts w:cs="Arial"/>
        </w:rPr>
      </w:pPr>
      <w:r w:rsidRPr="00225669">
        <w:rPr>
          <w:rFonts w:cs="Arial"/>
        </w:rPr>
        <w:t>Community trust funds are by no means recent inventions in local communities in Nigeria. Historically in the coastal zones of Nigeria, monetisation of the economy via trade between pre-colonial Nigerian communities and European traders led to economic instabilities and dysfunctions in these communities. Of particular note is the instability associated with pre-colonial stores of value such as livestock, which resulted from their rapid devaluation due to the introduction of modern money and a non-barter system of exchange. One response to this widespread economic instability was the development of traditional trust funds to cushion the impact of devaluation and massive loss of exchange entitlements.</w:t>
      </w:r>
    </w:p>
    <w:p w14:paraId="10798617" w14:textId="77777777" w:rsidR="008D1C31" w:rsidRPr="00225669" w:rsidRDefault="008D1C31" w:rsidP="00137DFE">
      <w:pPr>
        <w:jc w:val="both"/>
        <w:rPr>
          <w:rFonts w:cs="Arial"/>
        </w:rPr>
      </w:pPr>
    </w:p>
    <w:p w14:paraId="2119CC7E" w14:textId="77777777" w:rsidR="008D1C31" w:rsidRPr="00225669" w:rsidRDefault="008D1C31" w:rsidP="00137DFE">
      <w:pPr>
        <w:jc w:val="both"/>
        <w:rPr>
          <w:rFonts w:cs="Arial"/>
        </w:rPr>
      </w:pPr>
      <w:r w:rsidRPr="00225669">
        <w:rPr>
          <w:rFonts w:cs="Arial"/>
        </w:rPr>
        <w:t xml:space="preserve">Among early mechanisms developed was the periodic contribution of money into a centrally held fund, particularly by women and young men’s groups. The funds were used either for specific collective purposes such as investment in farming implements, or to support individuals, for instance by providing them soft loans. A later version of traditional trust fund, which has survived till today and is widely practiced even among the educated urban population, is the </w:t>
      </w:r>
      <w:r w:rsidRPr="00225669">
        <w:rPr>
          <w:rFonts w:cs="Arial"/>
          <w:i/>
        </w:rPr>
        <w:t>Esusu</w:t>
      </w:r>
      <w:r w:rsidRPr="00225669">
        <w:rPr>
          <w:rFonts w:cs="Arial"/>
        </w:rPr>
        <w:t>. In its simplest form, the Esusu involves monthly or weekly contributions by members of a specified amount of money. The pooled contributions are then awarded to one member and this is done for every member based on a pre-agreed rotational formula. Its more advanced form entails a complex system of calculation of weighted benefits paid out according to each member’s net contribution over a period of time.</w:t>
      </w:r>
    </w:p>
    <w:p w14:paraId="75C6B0B9" w14:textId="77777777" w:rsidR="008D1C31" w:rsidRPr="00225669" w:rsidRDefault="008D1C31" w:rsidP="00137DFE">
      <w:pPr>
        <w:jc w:val="both"/>
        <w:rPr>
          <w:rFonts w:cs="Arial"/>
        </w:rPr>
      </w:pPr>
    </w:p>
    <w:p w14:paraId="627696D3" w14:textId="55201F8E" w:rsidR="008D1C31" w:rsidRPr="00225669" w:rsidRDefault="008D1C31" w:rsidP="00137DFE">
      <w:pPr>
        <w:jc w:val="both"/>
        <w:rPr>
          <w:rFonts w:cs="Arial"/>
        </w:rPr>
      </w:pPr>
      <w:r w:rsidRPr="00225669">
        <w:rPr>
          <w:rFonts w:cs="Arial"/>
        </w:rPr>
        <w:t>Perhaps the most extensive use of community trust fund in Nigeria is to be found during colonial rule. Characteri</w:t>
      </w:r>
      <w:r w:rsidR="003D3234" w:rsidRPr="00225669">
        <w:rPr>
          <w:rFonts w:cs="Arial"/>
        </w:rPr>
        <w:t>s</w:t>
      </w:r>
      <w:r w:rsidRPr="00225669">
        <w:rPr>
          <w:rFonts w:cs="Arial"/>
        </w:rPr>
        <w:t xml:space="preserve">ed by scarcity, poor welfare conditions, exclusion of the ‘native’ population, colonialism catalysed a culture of self-help across many communities in Nigeria. In the face of pervasive neglect by the colonial regime, community trust funds became the basis for providing education, water, housing, and loans for businesses in communities defined variously as the village, the town, and clan or ethnic group. In fact, it is not surprising that many of the early nationalists in Nigeria were educated through one community trust fund or another. Endowment of trust funds became a central function of town and ethnic unions in Nigeria, and through such funds they played a pivotal role in the politics and economy of both the colonial and immediate post-independence history of Nigeria. </w:t>
      </w:r>
    </w:p>
    <w:p w14:paraId="7A8512F6" w14:textId="77777777" w:rsidR="008D1C31" w:rsidRPr="00225669" w:rsidRDefault="008D1C31" w:rsidP="00137DFE">
      <w:pPr>
        <w:jc w:val="both"/>
        <w:rPr>
          <w:rFonts w:cs="Arial"/>
        </w:rPr>
      </w:pPr>
    </w:p>
    <w:p w14:paraId="5E35604D" w14:textId="15D381C2" w:rsidR="008D1C31" w:rsidRPr="00225669" w:rsidRDefault="008D1C31" w:rsidP="00137DFE">
      <w:pPr>
        <w:jc w:val="both"/>
        <w:rPr>
          <w:rFonts w:cs="Arial"/>
        </w:rPr>
      </w:pPr>
      <w:r w:rsidRPr="00225669">
        <w:rPr>
          <w:rFonts w:cs="Arial"/>
        </w:rPr>
        <w:t xml:space="preserve">Apart from traditional, community based trust funds, there are at least two other types namely, private trust funds and government trust funds. As the name implies, individuals and private enterprises establish private trust funds for various charitable purposes. On the other hand, government has in recent times tended to create trust funds for special developmental purposes. Usually, resources for government trust funds come from special funds set aside by government, levies imposed on the private sector or other forms of public contributions. For instance, in 1994 following the removal of subsidies from petroleum products, government established the Petroleum Trust Fund (PTF) to use </w:t>
      </w:r>
      <w:r w:rsidR="00D24D4C" w:rsidRPr="00225669">
        <w:rPr>
          <w:rFonts w:cs="Arial"/>
        </w:rPr>
        <w:t>moneys</w:t>
      </w:r>
      <w:r w:rsidRPr="00225669">
        <w:rPr>
          <w:rFonts w:cs="Arial"/>
        </w:rPr>
        <w:t xml:space="preserve"> accruing to government from this source for special projects such as construction of roads, building and equipping schools and hospitals and other sundry purposes. Again in 1999, in the aftermath of public outcry over the poor state of education, especially the universities, government established an Education Tax Fund to serve as a trust fund for education. This fund draws resources from government and private enterprises.</w:t>
      </w:r>
    </w:p>
    <w:p w14:paraId="40BC4A68" w14:textId="77777777" w:rsidR="008D1C31" w:rsidRPr="00225669" w:rsidRDefault="008D1C31" w:rsidP="00137DFE">
      <w:pPr>
        <w:jc w:val="both"/>
        <w:rPr>
          <w:rFonts w:cs="Arial"/>
        </w:rPr>
      </w:pPr>
    </w:p>
    <w:p w14:paraId="127F48DB" w14:textId="37C36168" w:rsidR="008D1C31" w:rsidRPr="00225669" w:rsidRDefault="008D1C31" w:rsidP="00137DFE">
      <w:pPr>
        <w:jc w:val="both"/>
        <w:rPr>
          <w:rFonts w:cs="Arial"/>
        </w:rPr>
      </w:pPr>
      <w:r w:rsidRPr="00225669">
        <w:rPr>
          <w:rFonts w:cs="Arial"/>
        </w:rPr>
        <w:t>At the community level, practically all communities in Nigeria have had at one time or another functioning trust funds. In the immediate post-independence era, government recogni</w:t>
      </w:r>
      <w:r w:rsidR="007F75D6" w:rsidRPr="00225669">
        <w:rPr>
          <w:rFonts w:cs="Arial"/>
        </w:rPr>
        <w:t>s</w:t>
      </w:r>
      <w:r w:rsidRPr="00225669">
        <w:rPr>
          <w:rFonts w:cs="Arial"/>
        </w:rPr>
        <w:t>ed and encouraged these community funds by giving them matching grants and interest-free loans. The period of military rule and particularly the windfall of petrodollars, discouraged the development of community trust funds. For one thing, government suddenly had enough money to embark on massive development projects down to the grassroots. For another thing, the nouveaux riche, especially those who have had close relationships with government, took on the task of providing the needs of their communities such as drinking water, scholarships, and construction of roads. In the Niger Delta, the added involvement of oil companies in community projects further made community trust funds superfluous. However, following the recent economic crisis in Nigeria, the weak performance of government as an agent of development and the continuing dispute between communities, oil companies and government over resource allocation in the Niger Delta, there have been attempts to re-invent community trust fund in a more formal way.</w:t>
      </w:r>
    </w:p>
    <w:p w14:paraId="381AC191" w14:textId="77777777" w:rsidR="008D1C31" w:rsidRPr="00225669" w:rsidRDefault="008D1C31" w:rsidP="00137DFE">
      <w:pPr>
        <w:jc w:val="both"/>
        <w:rPr>
          <w:rFonts w:cs="Arial"/>
        </w:rPr>
      </w:pPr>
    </w:p>
    <w:p w14:paraId="7580A081" w14:textId="562825F8" w:rsidR="008D1C31" w:rsidRPr="00225669" w:rsidRDefault="008D1C31" w:rsidP="00137DFE">
      <w:pPr>
        <w:jc w:val="both"/>
        <w:rPr>
          <w:rFonts w:cs="Arial"/>
        </w:rPr>
      </w:pPr>
      <w:r w:rsidRPr="00225669">
        <w:rPr>
          <w:rFonts w:cs="Arial"/>
        </w:rPr>
        <w:t xml:space="preserve">In the present incarnation of community trust funds in the Niger Delta, the Akassa model stands out. Akassa is a coastal community in Bayelsa State and its development trust fund was established in 1997 at the height of military repression and community restiveness in the Niger Delta. Statoil-BP a joint venture of the Norwegian and British petroleum companies was prospecting for offshore oil around Akassa and decided to set up a model community development project in Akassa. Among the partner organizations that set up the Akassa model was Niger Delta Wetlands Centre, a grantee of the Foundation. What became the Akassa development project is based on a trust fund administered by the Akassa Community Development Council. It gets its resources principally from Statoil-BP, but also from a traditional institution in Akassa known as the </w:t>
      </w:r>
      <w:r w:rsidRPr="00225669">
        <w:rPr>
          <w:rFonts w:cs="Arial"/>
          <w:i/>
        </w:rPr>
        <w:t>Ogbo</w:t>
      </w:r>
      <w:r w:rsidRPr="00225669">
        <w:rPr>
          <w:rFonts w:cs="Arial"/>
        </w:rPr>
        <w:t xml:space="preserve">, which is the centrepiece of the project. The </w:t>
      </w:r>
      <w:r w:rsidR="007F75D6" w:rsidRPr="00225669">
        <w:rPr>
          <w:rFonts w:cs="Arial"/>
        </w:rPr>
        <w:t>O</w:t>
      </w:r>
      <w:r w:rsidRPr="00225669">
        <w:rPr>
          <w:rFonts w:cs="Arial"/>
        </w:rPr>
        <w:t>gbo is a traditional federation of organi</w:t>
      </w:r>
      <w:r w:rsidR="007F75D6" w:rsidRPr="00225669">
        <w:rPr>
          <w:rFonts w:cs="Arial"/>
        </w:rPr>
        <w:t>s</w:t>
      </w:r>
      <w:r w:rsidRPr="00225669">
        <w:rPr>
          <w:rFonts w:cs="Arial"/>
        </w:rPr>
        <w:t xml:space="preserve">ed interest groups. The members of each </w:t>
      </w:r>
      <w:r w:rsidR="007F75D6" w:rsidRPr="00225669">
        <w:rPr>
          <w:rFonts w:cs="Arial"/>
        </w:rPr>
        <w:t>O</w:t>
      </w:r>
      <w:r w:rsidRPr="00225669">
        <w:rPr>
          <w:rFonts w:cs="Arial"/>
        </w:rPr>
        <w:t xml:space="preserve">gbo put their savings in a common fund and collectively decide what to do with it. This system was adopted by the Akassa development project. By October 1998, the capital in the system was about $15,000, which was in excess of </w:t>
      </w:r>
      <w:r w:rsidRPr="00225669">
        <w:rPr>
          <w:rFonts w:cs="Arial"/>
          <w:dstrike/>
        </w:rPr>
        <w:t>N</w:t>
      </w:r>
      <w:r w:rsidRPr="00225669">
        <w:rPr>
          <w:rFonts w:cs="Arial"/>
        </w:rPr>
        <w:t>1.5 million with 196 outstanding loans to members of the community each valued at about $35.</w:t>
      </w:r>
      <w:r w:rsidRPr="00225669">
        <w:rPr>
          <w:rFonts w:cs="Arial"/>
          <w:vertAlign w:val="superscript"/>
        </w:rPr>
        <w:footnoteReference w:id="33"/>
      </w:r>
      <w:r w:rsidRPr="00225669">
        <w:rPr>
          <w:rFonts w:cs="Arial"/>
        </w:rPr>
        <w:t xml:space="preserve"> To date, the Fund has been used to support numerous projects in Akassa determined by the community in close consultation with Statoil-BP and project advisors.</w:t>
      </w:r>
    </w:p>
    <w:p w14:paraId="629A63FB" w14:textId="77777777" w:rsidR="008D1C31" w:rsidRPr="00225669" w:rsidRDefault="008D1C31" w:rsidP="00137DFE">
      <w:pPr>
        <w:jc w:val="both"/>
        <w:rPr>
          <w:rFonts w:cs="Arial"/>
        </w:rPr>
      </w:pPr>
    </w:p>
    <w:p w14:paraId="57FA7C68" w14:textId="030FB2B9" w:rsidR="00634E84" w:rsidRPr="00225669" w:rsidRDefault="008D1C31" w:rsidP="00137DFE">
      <w:pPr>
        <w:jc w:val="both"/>
        <w:rPr>
          <w:rFonts w:cs="Arial"/>
        </w:rPr>
      </w:pPr>
      <w:r w:rsidRPr="00225669">
        <w:rPr>
          <w:rFonts w:cs="Arial"/>
        </w:rPr>
        <w:t>A trust fund, by definition and function, is inherently a revenue governance mechanism.</w:t>
      </w:r>
      <w:r w:rsidRPr="00225669">
        <w:rPr>
          <w:rFonts w:cs="Arial"/>
          <w:vertAlign w:val="superscript"/>
        </w:rPr>
        <w:footnoteReference w:id="34"/>
      </w:r>
      <w:r w:rsidRPr="00225669">
        <w:rPr>
          <w:rFonts w:cs="Arial"/>
        </w:rPr>
        <w:t xml:space="preserve"> It is an institutional construct, operated by stakeholders (donors and recipients can both be part of the governance structure) that can monitor resource flows, identify key flows for incorporation into the Fund and/or solicit funds to “flow through” the fund mechanism to local projects. Since it is locally administered, a trust fund lends itself to immediate scrutiny by members of the community. The benefits of such an institutional arrangement that can identify and harness at least a portion of the resource flows into Niger Delta communities are its ability to identify, account for, and monitor the success of allocations of resources to local groups/projects. The trust fund mechanism represents only one approach to monitoring resource flows and does not present itself as a comprehensive monitoring mechanism for the entire Niger Delta region.  In the absence of strong public policies favouring freedom of information, tracking resources flow through government and oil companies is an arduous task. </w:t>
      </w:r>
      <w:r w:rsidR="007F75D6" w:rsidRPr="00225669">
        <w:rPr>
          <w:rFonts w:cs="Arial"/>
        </w:rPr>
        <w:t>To the contrary</w:t>
      </w:r>
      <w:r w:rsidRPr="00225669">
        <w:rPr>
          <w:rFonts w:cs="Arial"/>
        </w:rPr>
        <w:t xml:space="preserve">, community trust funds lend themselves to easy scrutiny. </w:t>
      </w:r>
      <w:r w:rsidR="00933AC7" w:rsidRPr="00225669">
        <w:rPr>
          <w:rFonts w:cs="Arial"/>
        </w:rPr>
        <w:t>T</w:t>
      </w:r>
      <w:r w:rsidRPr="00225669">
        <w:rPr>
          <w:rFonts w:cs="Arial"/>
        </w:rPr>
        <w:t xml:space="preserve">he trust fund framework can build on present examples of such institutional arrangements, where allocation, management and monitoring of resources are fused, though tailored to the economic, social and cultural needs of the Niger Delta Communities.  </w:t>
      </w:r>
    </w:p>
    <w:p w14:paraId="3F839505" w14:textId="77777777" w:rsidR="00634E84" w:rsidRPr="00225669" w:rsidRDefault="00634E84" w:rsidP="00137DFE">
      <w:pPr>
        <w:jc w:val="both"/>
        <w:rPr>
          <w:rFonts w:cs="Arial"/>
        </w:rPr>
      </w:pPr>
    </w:p>
    <w:p w14:paraId="35F8C898" w14:textId="03347BC7" w:rsidR="008D1C31" w:rsidRPr="00225669" w:rsidRDefault="008D1C31" w:rsidP="00137DFE">
      <w:pPr>
        <w:jc w:val="both"/>
        <w:rPr>
          <w:rFonts w:cs="Arial"/>
        </w:rPr>
      </w:pPr>
      <w:r w:rsidRPr="00225669">
        <w:rPr>
          <w:rFonts w:cs="Arial"/>
        </w:rPr>
        <w:t>For example, under the Trust Fund established as a part of the Chad-Cameroon Pipeline Project, some part of the oil revenues are placed in an escrow account dedicated, among other things, to the provision of social services. In addition, as part of the overall arrangement, there is an Oil Revenue Control and Monitoring Board charged with the responsibility for authori</w:t>
      </w:r>
      <w:r w:rsidR="007F75D6" w:rsidRPr="00225669">
        <w:rPr>
          <w:rFonts w:cs="Arial"/>
        </w:rPr>
        <w:t>s</w:t>
      </w:r>
      <w:r w:rsidRPr="00225669">
        <w:rPr>
          <w:rFonts w:cs="Arial"/>
        </w:rPr>
        <w:t>ing and monitoring disbursements from the escrow account. There is also an International Advisory Group, responsible for advising the World Bank and the government of Chad on the misallocation and misuse of public funds, involvement of civil society, institution building, and governance in a more general sense. Similar ideas have been suggested in the case of Caspian oil in Azerbaijan.</w:t>
      </w:r>
      <w:r w:rsidRPr="00225669">
        <w:rPr>
          <w:rFonts w:cs="Arial"/>
          <w:vertAlign w:val="superscript"/>
        </w:rPr>
        <w:footnoteReference w:id="35"/>
      </w:r>
      <w:r w:rsidRPr="00225669">
        <w:rPr>
          <w:rFonts w:cs="Arial"/>
        </w:rPr>
        <w:t xml:space="preserve"> The community trust fund mechanism has similar goals, though the specific operating features are likely to be different given the smaller size needed for </w:t>
      </w:r>
      <w:r w:rsidR="00E8736C" w:rsidRPr="00225669">
        <w:rPr>
          <w:rFonts w:cs="Arial"/>
        </w:rPr>
        <w:t>operationalizing</w:t>
      </w:r>
      <w:r w:rsidRPr="00225669">
        <w:rPr>
          <w:rFonts w:cs="Arial"/>
        </w:rPr>
        <w:t xml:space="preserve"> the mechanism within local communities of the Niger Delta.</w:t>
      </w:r>
    </w:p>
    <w:p w14:paraId="243438A7" w14:textId="77777777" w:rsidR="008D1C31" w:rsidRPr="00225669" w:rsidRDefault="008D1C31" w:rsidP="00137DFE">
      <w:pPr>
        <w:jc w:val="both"/>
        <w:rPr>
          <w:rFonts w:cs="Arial"/>
        </w:rPr>
      </w:pPr>
    </w:p>
    <w:p w14:paraId="026E1273" w14:textId="77777777" w:rsidR="008D1C31" w:rsidRPr="00225669" w:rsidRDefault="008D1C31" w:rsidP="00137DFE">
      <w:pPr>
        <w:jc w:val="both"/>
        <w:rPr>
          <w:rFonts w:cs="Arial"/>
        </w:rPr>
      </w:pPr>
      <w:r w:rsidRPr="00225669">
        <w:rPr>
          <w:rFonts w:cs="Arial"/>
        </w:rPr>
        <w:t>Specifically, a trust fund can be a tool for ensuring effective corporate social responsibility and efficient use of revenues in the following ways:</w:t>
      </w:r>
    </w:p>
    <w:p w14:paraId="53C66698" w14:textId="77777777" w:rsidR="008D1C31" w:rsidRPr="00225669" w:rsidRDefault="008D1C31" w:rsidP="00137DFE">
      <w:pPr>
        <w:jc w:val="both"/>
        <w:rPr>
          <w:rFonts w:cs="Arial"/>
        </w:rPr>
      </w:pPr>
    </w:p>
    <w:p w14:paraId="1E5EFCE9" w14:textId="06FBD11A" w:rsidR="00E8736C" w:rsidRPr="00225669" w:rsidRDefault="008D1C31" w:rsidP="00AF131C">
      <w:pPr>
        <w:pStyle w:val="ListParagraph"/>
        <w:numPr>
          <w:ilvl w:val="0"/>
          <w:numId w:val="24"/>
        </w:numPr>
        <w:jc w:val="both"/>
        <w:rPr>
          <w:rFonts w:cs="Arial"/>
        </w:rPr>
      </w:pPr>
      <w:r w:rsidRPr="00225669">
        <w:rPr>
          <w:rFonts w:cs="Arial"/>
        </w:rPr>
        <w:t>By establishing an advisory board and governance structure comprised of a cross-section of local stakeholders, private/public donors, domestic NGOs, and technical experts, the Fund can work with public and private agencies and local community groups to more comprehensively identify resource flows and evaluate the effectiveness of programs currently funded by those flows.  One task of the Fund can be to develop more flexible and effective management approaches for allocating and monitoring resource flows.</w:t>
      </w:r>
    </w:p>
    <w:p w14:paraId="205C91F2" w14:textId="05917D9C" w:rsidR="00E8736C" w:rsidRPr="00225669" w:rsidRDefault="008D1C31" w:rsidP="00AF131C">
      <w:pPr>
        <w:pStyle w:val="ListParagraph"/>
        <w:numPr>
          <w:ilvl w:val="0"/>
          <w:numId w:val="24"/>
        </w:numPr>
        <w:jc w:val="both"/>
        <w:rPr>
          <w:rFonts w:cs="Arial"/>
        </w:rPr>
      </w:pPr>
      <w:r w:rsidRPr="00225669">
        <w:rPr>
          <w:rFonts w:cs="Arial"/>
        </w:rPr>
        <w:t xml:space="preserve">A trust fund mechanism could serve as a more transparent alternative or complement to existing approaches to resource allocation, and by that accomplish the primary objective of monitoring, which is transparency. </w:t>
      </w:r>
    </w:p>
    <w:p w14:paraId="524ED4D7" w14:textId="0F7D2590" w:rsidR="00E8736C" w:rsidRPr="00225669" w:rsidRDefault="008D1C31" w:rsidP="00AF131C">
      <w:pPr>
        <w:pStyle w:val="ListParagraph"/>
        <w:numPr>
          <w:ilvl w:val="0"/>
          <w:numId w:val="24"/>
        </w:numPr>
        <w:jc w:val="both"/>
        <w:rPr>
          <w:rFonts w:cs="Arial"/>
        </w:rPr>
      </w:pPr>
      <w:r w:rsidRPr="00225669">
        <w:rPr>
          <w:rFonts w:cs="Arial"/>
        </w:rPr>
        <w:t>Communities need to set better goals and target resources at those goals. A carefully designed trust fund arrangements could facilitate this, as communities are enabled to play a greater role in the organi</w:t>
      </w:r>
      <w:r w:rsidR="007F75D6" w:rsidRPr="00225669">
        <w:rPr>
          <w:rFonts w:cs="Arial"/>
        </w:rPr>
        <w:t>s</w:t>
      </w:r>
      <w:r w:rsidRPr="00225669">
        <w:rPr>
          <w:rFonts w:cs="Arial"/>
        </w:rPr>
        <w:t>ation and management of the Fund and revenues that are channelled into it.</w:t>
      </w:r>
    </w:p>
    <w:p w14:paraId="435C53F4" w14:textId="5B82054E" w:rsidR="00E8736C" w:rsidRPr="00225669" w:rsidRDefault="008D1C31" w:rsidP="00AF131C">
      <w:pPr>
        <w:pStyle w:val="ListParagraph"/>
        <w:numPr>
          <w:ilvl w:val="0"/>
          <w:numId w:val="24"/>
        </w:numPr>
        <w:jc w:val="both"/>
        <w:rPr>
          <w:rFonts w:cs="Arial"/>
        </w:rPr>
      </w:pPr>
      <w:r w:rsidRPr="00225669">
        <w:rPr>
          <w:rFonts w:cs="Arial"/>
        </w:rPr>
        <w:t>A key function of the Fund is to establish a credible internal accounting procedure that keeps track of all revenues received and how they are spent to ensure that flows into the Fund are monitored fully.</w:t>
      </w:r>
    </w:p>
    <w:p w14:paraId="6BF037F9" w14:textId="353D8BC0" w:rsidR="00E8736C" w:rsidRPr="00225669" w:rsidRDefault="008D1C31" w:rsidP="00AF131C">
      <w:pPr>
        <w:pStyle w:val="ListParagraph"/>
        <w:numPr>
          <w:ilvl w:val="0"/>
          <w:numId w:val="24"/>
        </w:numPr>
        <w:jc w:val="both"/>
        <w:rPr>
          <w:rFonts w:cs="Arial"/>
        </w:rPr>
      </w:pPr>
      <w:r w:rsidRPr="00225669">
        <w:rPr>
          <w:rFonts w:cs="Arial"/>
        </w:rPr>
        <w:t xml:space="preserve">The Fund can also create, as some funds have done, a monitoring team to </w:t>
      </w:r>
      <w:r w:rsidR="007F75D6" w:rsidRPr="00225669">
        <w:rPr>
          <w:rFonts w:cs="Arial"/>
        </w:rPr>
        <w:t xml:space="preserve">track </w:t>
      </w:r>
      <w:r w:rsidRPr="00225669">
        <w:rPr>
          <w:rFonts w:cs="Arial"/>
        </w:rPr>
        <w:t>disbursements from the Fund’s accounts and evaluate the results of projects funded.</w:t>
      </w:r>
    </w:p>
    <w:p w14:paraId="2386BD0C" w14:textId="15270A96" w:rsidR="00E8736C" w:rsidRPr="00225669" w:rsidRDefault="008D1C31" w:rsidP="00AF131C">
      <w:pPr>
        <w:pStyle w:val="ListParagraph"/>
        <w:numPr>
          <w:ilvl w:val="0"/>
          <w:numId w:val="24"/>
        </w:numPr>
        <w:jc w:val="both"/>
        <w:rPr>
          <w:rFonts w:cs="Arial"/>
        </w:rPr>
      </w:pPr>
      <w:r w:rsidRPr="00225669">
        <w:rPr>
          <w:rFonts w:cs="Arial"/>
        </w:rPr>
        <w:t xml:space="preserve">Through the incorporation of an oversight mechanism involving domestic and international </w:t>
      </w:r>
      <w:r w:rsidR="007F75D6" w:rsidRPr="00225669">
        <w:rPr>
          <w:rFonts w:cs="Arial"/>
        </w:rPr>
        <w:t xml:space="preserve">civil society organisations </w:t>
      </w:r>
      <w:r w:rsidRPr="00225669">
        <w:rPr>
          <w:rFonts w:cs="Arial"/>
        </w:rPr>
        <w:t>and international financial and development institutions, the Fund can further ensure effective evaluation of potential, existing and future resource flows into the community, as well as to ensure the monitoring of resources that are eventually managed by the Fund.</w:t>
      </w:r>
    </w:p>
    <w:p w14:paraId="59271088" w14:textId="77777777" w:rsidR="008D1C31" w:rsidRPr="00225669" w:rsidRDefault="008D1C31" w:rsidP="00AF131C">
      <w:pPr>
        <w:pStyle w:val="ListParagraph"/>
        <w:numPr>
          <w:ilvl w:val="0"/>
          <w:numId w:val="24"/>
        </w:numPr>
        <w:jc w:val="both"/>
        <w:rPr>
          <w:rFonts w:cs="Arial"/>
        </w:rPr>
      </w:pPr>
      <w:r w:rsidRPr="00225669">
        <w:rPr>
          <w:rFonts w:cs="Arial"/>
        </w:rPr>
        <w:t>By emphasizing community participation under which community members will be empowered to choose their representatives to the advisory board, the Fund can ensure greater transparency and accountability to the community through this advisory board, some of whose members would be elected by (and, therefore, more accountable to) the community.</w:t>
      </w:r>
    </w:p>
    <w:p w14:paraId="6977850C" w14:textId="77777777" w:rsidR="008D1C31" w:rsidRPr="00225669" w:rsidRDefault="008D1C31" w:rsidP="00137DFE">
      <w:pPr>
        <w:spacing w:line="360" w:lineRule="auto"/>
        <w:jc w:val="both"/>
        <w:rPr>
          <w:rFonts w:cs="Arial"/>
        </w:rPr>
      </w:pPr>
    </w:p>
    <w:p w14:paraId="2937FED8" w14:textId="77777777" w:rsidR="00226022" w:rsidRPr="00225669" w:rsidRDefault="00226022" w:rsidP="00137DFE">
      <w:pPr>
        <w:spacing w:line="360" w:lineRule="auto"/>
        <w:jc w:val="both"/>
        <w:rPr>
          <w:rFonts w:cs="Arial"/>
        </w:rPr>
      </w:pPr>
      <w:r w:rsidRPr="00225669">
        <w:rPr>
          <w:rFonts w:cs="Arial"/>
        </w:rPr>
        <w:br w:type="page"/>
      </w:r>
    </w:p>
    <w:p w14:paraId="64386402" w14:textId="77777777" w:rsidR="00226022" w:rsidRPr="00225669" w:rsidRDefault="00A36728" w:rsidP="00137DFE">
      <w:pPr>
        <w:pStyle w:val="Heading1"/>
      </w:pPr>
      <w:bookmarkStart w:id="25" w:name="_Toc311709498"/>
      <w:r w:rsidRPr="00225669">
        <w:t>Fund Analysis</w:t>
      </w:r>
      <w:r w:rsidR="00E63130" w:rsidRPr="00225669">
        <w:t xml:space="preserve"> and Impact Assessment</w:t>
      </w:r>
      <w:bookmarkEnd w:id="25"/>
    </w:p>
    <w:p w14:paraId="62617BC3" w14:textId="751E8641" w:rsidR="0075482F" w:rsidRPr="00225669" w:rsidRDefault="00500ADB" w:rsidP="00137DFE">
      <w:pPr>
        <w:pStyle w:val="Summary"/>
      </w:pPr>
      <w:r w:rsidRPr="00225669">
        <w:t>For the purposes of this report, e</w:t>
      </w:r>
      <w:r w:rsidR="008F545D" w:rsidRPr="00225669">
        <w:t>leven (11</w:t>
      </w:r>
      <w:r w:rsidR="00910D20" w:rsidRPr="00225669">
        <w:t xml:space="preserve">) funds </w:t>
      </w:r>
      <w:r w:rsidR="003627A2" w:rsidRPr="00225669">
        <w:t>were</w:t>
      </w:r>
      <w:r w:rsidR="00910D20" w:rsidRPr="00225669">
        <w:t xml:space="preserve"> </w:t>
      </w:r>
      <w:r w:rsidR="00CE2FF3" w:rsidRPr="00225669">
        <w:t xml:space="preserve">selected, </w:t>
      </w:r>
      <w:r w:rsidR="00910D20" w:rsidRPr="00225669">
        <w:t>analysed and reviewed</w:t>
      </w:r>
      <w:r w:rsidRPr="00225669">
        <w:t xml:space="preserve"> using two selection criteria</w:t>
      </w:r>
      <w:r w:rsidR="00910D20" w:rsidRPr="00225669">
        <w:t>. The analysis</w:t>
      </w:r>
      <w:r w:rsidR="00333285" w:rsidRPr="00225669">
        <w:t xml:space="preserve"> shows</w:t>
      </w:r>
      <w:r w:rsidR="001C65FE" w:rsidRPr="00225669">
        <w:t xml:space="preserve"> that</w:t>
      </w:r>
      <w:r w:rsidR="00333285" w:rsidRPr="00225669">
        <w:t xml:space="preserve"> a sum total of </w:t>
      </w:r>
      <w:r w:rsidRPr="00225669">
        <w:t xml:space="preserve"> </w:t>
      </w:r>
      <w:r w:rsidRPr="00225669">
        <w:rPr>
          <w:dstrike/>
        </w:rPr>
        <w:t>N</w:t>
      </w:r>
      <w:r w:rsidRPr="00225669">
        <w:rPr>
          <w:rFonts w:eastAsia="Times New Roman"/>
          <w:b/>
          <w:bCs/>
        </w:rPr>
        <w:t>7</w:t>
      </w:r>
      <w:r w:rsidR="005D0747" w:rsidRPr="00225669">
        <w:rPr>
          <w:rFonts w:eastAsia="Times New Roman"/>
          <w:b/>
          <w:bCs/>
        </w:rPr>
        <w:t>.</w:t>
      </w:r>
      <w:r w:rsidR="005514BA" w:rsidRPr="00225669">
        <w:rPr>
          <w:rFonts w:eastAsia="Times New Roman"/>
          <w:b/>
          <w:bCs/>
        </w:rPr>
        <w:t>3</w:t>
      </w:r>
      <w:r w:rsidR="003627A2" w:rsidRPr="00225669">
        <w:rPr>
          <w:rFonts w:eastAsia="Times New Roman"/>
          <w:b/>
          <w:bCs/>
        </w:rPr>
        <w:t>5</w:t>
      </w:r>
      <w:r w:rsidR="005D0747" w:rsidRPr="00225669">
        <w:rPr>
          <w:rFonts w:eastAsia="Times New Roman"/>
          <w:b/>
          <w:bCs/>
        </w:rPr>
        <w:t xml:space="preserve"> trillion </w:t>
      </w:r>
      <w:r w:rsidRPr="00225669">
        <w:rPr>
          <w:rFonts w:eastAsia="Times New Roman"/>
          <w:bCs/>
        </w:rPr>
        <w:t>was</w:t>
      </w:r>
      <w:r w:rsidR="00333285" w:rsidRPr="00225669">
        <w:rPr>
          <w:rFonts w:eastAsia="Times New Roman"/>
          <w:bCs/>
        </w:rPr>
        <w:t xml:space="preserve"> allocated to the Niger Delta region </w:t>
      </w:r>
      <w:r w:rsidRPr="00225669">
        <w:rPr>
          <w:rFonts w:eastAsia="Times New Roman"/>
          <w:bCs/>
        </w:rPr>
        <w:t xml:space="preserve">between </w:t>
      </w:r>
      <w:r w:rsidR="00333285" w:rsidRPr="00225669">
        <w:rPr>
          <w:rFonts w:eastAsia="Times New Roman"/>
          <w:bCs/>
        </w:rPr>
        <w:t>2010</w:t>
      </w:r>
      <w:r w:rsidRPr="00225669">
        <w:rPr>
          <w:rFonts w:eastAsia="Times New Roman"/>
          <w:bCs/>
        </w:rPr>
        <w:t xml:space="preserve"> and </w:t>
      </w:r>
      <w:r w:rsidR="00333285" w:rsidRPr="00225669">
        <w:rPr>
          <w:rFonts w:eastAsia="Times New Roman"/>
          <w:bCs/>
        </w:rPr>
        <w:t>2014.</w:t>
      </w:r>
      <w:r w:rsidR="00CE2FF3" w:rsidRPr="00225669">
        <w:rPr>
          <w:rFonts w:eastAsia="Times New Roman"/>
          <w:bCs/>
        </w:rPr>
        <w:t xml:space="preserve"> </w:t>
      </w:r>
      <w:r w:rsidRPr="00225669">
        <w:rPr>
          <w:rFonts w:eastAsia="Times New Roman"/>
          <w:bCs/>
        </w:rPr>
        <w:t>However, the quality of life</w:t>
      </w:r>
      <w:r w:rsidR="001C65FE" w:rsidRPr="00225669">
        <w:rPr>
          <w:rFonts w:eastAsia="Times New Roman"/>
          <w:bCs/>
        </w:rPr>
        <w:t xml:space="preserve"> of the people in the region</w:t>
      </w:r>
      <w:r w:rsidR="003627A2" w:rsidRPr="00225669">
        <w:rPr>
          <w:rFonts w:eastAsia="Times New Roman"/>
          <w:bCs/>
        </w:rPr>
        <w:t xml:space="preserve"> is not commensurate with the amount of funds allocated to the region</w:t>
      </w:r>
      <w:r w:rsidR="001C65FE" w:rsidRPr="00225669">
        <w:rPr>
          <w:rFonts w:eastAsia="Times New Roman"/>
          <w:bCs/>
        </w:rPr>
        <w:t xml:space="preserve">. </w:t>
      </w:r>
      <w:r w:rsidR="001C65FE" w:rsidRPr="00225669">
        <w:t>Governance challenge</w:t>
      </w:r>
      <w:r w:rsidR="00913686" w:rsidRPr="00225669">
        <w:t>s</w:t>
      </w:r>
      <w:r w:rsidR="001C65FE" w:rsidRPr="00225669">
        <w:t xml:space="preserve">, and not the quantum of funds, is the </w:t>
      </w:r>
      <w:r w:rsidR="00913686" w:rsidRPr="00225669">
        <w:t xml:space="preserve">principal problem affecting </w:t>
      </w:r>
      <w:r w:rsidR="001C65FE" w:rsidRPr="00225669">
        <w:t>development of the Niger Delta region.</w:t>
      </w:r>
    </w:p>
    <w:p w14:paraId="0CA8E78F" w14:textId="77777777" w:rsidR="00500ADB" w:rsidRPr="00225669" w:rsidRDefault="00500ADB" w:rsidP="00137DFE">
      <w:pPr>
        <w:pStyle w:val="Summary"/>
      </w:pPr>
    </w:p>
    <w:p w14:paraId="50D5DC47" w14:textId="77777777" w:rsidR="00226022" w:rsidRPr="00225669" w:rsidRDefault="00A36728" w:rsidP="00137DFE">
      <w:pPr>
        <w:pStyle w:val="Heading2"/>
        <w:rPr>
          <w:rFonts w:ascii="Arial" w:hAnsi="Arial" w:cs="Arial"/>
        </w:rPr>
      </w:pPr>
      <w:bookmarkStart w:id="26" w:name="_Toc311709499"/>
      <w:r w:rsidRPr="00225669">
        <w:rPr>
          <w:rFonts w:ascii="Arial" w:hAnsi="Arial" w:cs="Arial"/>
        </w:rPr>
        <w:t>Fund Selection Criteria</w:t>
      </w:r>
      <w:bookmarkEnd w:id="26"/>
    </w:p>
    <w:p w14:paraId="701DEBAC" w14:textId="28942DBC" w:rsidR="00037711" w:rsidRPr="00225669" w:rsidRDefault="00037711" w:rsidP="00137DFE">
      <w:pPr>
        <w:widowControl w:val="0"/>
        <w:autoSpaceDE w:val="0"/>
        <w:autoSpaceDN w:val="0"/>
        <w:adjustRightInd w:val="0"/>
        <w:jc w:val="both"/>
        <w:rPr>
          <w:rFonts w:cs="Arial"/>
        </w:rPr>
      </w:pPr>
      <w:r w:rsidRPr="00225669">
        <w:rPr>
          <w:rFonts w:cs="Arial"/>
        </w:rPr>
        <w:t xml:space="preserve">The following criteria </w:t>
      </w:r>
      <w:r w:rsidR="00913686" w:rsidRPr="00225669">
        <w:rPr>
          <w:rFonts w:cs="Arial"/>
        </w:rPr>
        <w:t>were</w:t>
      </w:r>
      <w:r w:rsidR="008C69F6" w:rsidRPr="00225669">
        <w:rPr>
          <w:rFonts w:cs="Arial"/>
        </w:rPr>
        <w:t xml:space="preserve"> </w:t>
      </w:r>
      <w:r w:rsidRPr="00225669">
        <w:rPr>
          <w:rFonts w:cs="Arial"/>
        </w:rPr>
        <w:t>used in selecting the funds to be analysed</w:t>
      </w:r>
    </w:p>
    <w:p w14:paraId="46E72BFB" w14:textId="7CC920C8" w:rsidR="00226022" w:rsidRPr="00225669" w:rsidRDefault="00037711" w:rsidP="00AF131C">
      <w:pPr>
        <w:pStyle w:val="ListParagraph"/>
        <w:widowControl w:val="0"/>
        <w:numPr>
          <w:ilvl w:val="0"/>
          <w:numId w:val="10"/>
        </w:numPr>
        <w:autoSpaceDE w:val="0"/>
        <w:autoSpaceDN w:val="0"/>
        <w:adjustRightInd w:val="0"/>
        <w:jc w:val="both"/>
        <w:rPr>
          <w:rFonts w:cs="Arial"/>
        </w:rPr>
      </w:pPr>
      <w:r w:rsidRPr="00225669">
        <w:rPr>
          <w:rFonts w:cs="Arial"/>
          <w:b/>
          <w:color w:val="31849B" w:themeColor="accent5" w:themeShade="BF"/>
        </w:rPr>
        <w:t>Fiscal federalism and derivative principles:</w:t>
      </w:r>
      <w:r w:rsidRPr="00225669">
        <w:rPr>
          <w:rFonts w:cs="Arial"/>
        </w:rPr>
        <w:t xml:space="preserve"> These include funds that </w:t>
      </w:r>
      <w:r w:rsidR="00500ADB" w:rsidRPr="00225669">
        <w:rPr>
          <w:rFonts w:cs="Arial"/>
        </w:rPr>
        <w:t>we</w:t>
      </w:r>
      <w:r w:rsidRPr="00225669">
        <w:rPr>
          <w:rFonts w:cs="Arial"/>
        </w:rPr>
        <w:t xml:space="preserve">re created in response to persistent agitation for resource control and </w:t>
      </w:r>
      <w:r w:rsidR="00913686" w:rsidRPr="00225669">
        <w:rPr>
          <w:rFonts w:cs="Arial"/>
        </w:rPr>
        <w:t xml:space="preserve">an </w:t>
      </w:r>
      <w:r w:rsidRPr="00225669">
        <w:rPr>
          <w:rFonts w:cs="Arial"/>
        </w:rPr>
        <w:t>increased share of petroleum revenue.</w:t>
      </w:r>
    </w:p>
    <w:p w14:paraId="2D8F17D3" w14:textId="29EAB722" w:rsidR="00254DA1" w:rsidRPr="00225669" w:rsidRDefault="00C2738B" w:rsidP="00AF131C">
      <w:pPr>
        <w:pStyle w:val="ListParagraph"/>
        <w:widowControl w:val="0"/>
        <w:numPr>
          <w:ilvl w:val="0"/>
          <w:numId w:val="10"/>
        </w:numPr>
        <w:autoSpaceDE w:val="0"/>
        <w:autoSpaceDN w:val="0"/>
        <w:adjustRightInd w:val="0"/>
        <w:jc w:val="both"/>
        <w:rPr>
          <w:rFonts w:cs="Arial"/>
        </w:rPr>
      </w:pPr>
      <w:r w:rsidRPr="00225669">
        <w:rPr>
          <w:rFonts w:cs="Arial"/>
          <w:b/>
          <w:color w:val="31849B" w:themeColor="accent5" w:themeShade="BF"/>
        </w:rPr>
        <w:t>Availability of data</w:t>
      </w:r>
      <w:r w:rsidR="00F76E35" w:rsidRPr="00225669">
        <w:rPr>
          <w:rFonts w:cs="Arial"/>
          <w:b/>
          <w:color w:val="31849B" w:themeColor="accent5" w:themeShade="BF"/>
        </w:rPr>
        <w:t>:</w:t>
      </w:r>
      <w:r w:rsidR="00F76E35" w:rsidRPr="00225669">
        <w:rPr>
          <w:rFonts w:cs="Arial"/>
        </w:rPr>
        <w:t xml:space="preserve"> The</w:t>
      </w:r>
      <w:r w:rsidRPr="00225669">
        <w:rPr>
          <w:rFonts w:cs="Arial"/>
        </w:rPr>
        <w:t xml:space="preserve"> funds included in this selecti</w:t>
      </w:r>
      <w:r w:rsidR="00B1761F" w:rsidRPr="00225669">
        <w:rPr>
          <w:rFonts w:cs="Arial"/>
        </w:rPr>
        <w:t>on are</w:t>
      </w:r>
      <w:r w:rsidRPr="00225669">
        <w:rPr>
          <w:rFonts w:cs="Arial"/>
        </w:rPr>
        <w:t xml:space="preserve"> those for which there are </w:t>
      </w:r>
      <w:r w:rsidR="00F76E35" w:rsidRPr="00225669">
        <w:rPr>
          <w:rFonts w:cs="Arial"/>
        </w:rPr>
        <w:t>readily available data</w:t>
      </w:r>
      <w:r w:rsidRPr="00225669">
        <w:rPr>
          <w:rFonts w:cs="Arial"/>
        </w:rPr>
        <w:t>.</w:t>
      </w:r>
    </w:p>
    <w:p w14:paraId="6591B2BF" w14:textId="77777777" w:rsidR="00F76E35" w:rsidRPr="00225669" w:rsidRDefault="00F76E35" w:rsidP="00137DFE">
      <w:pPr>
        <w:widowControl w:val="0"/>
        <w:autoSpaceDE w:val="0"/>
        <w:autoSpaceDN w:val="0"/>
        <w:adjustRightInd w:val="0"/>
        <w:jc w:val="both"/>
        <w:rPr>
          <w:rFonts w:cs="Arial"/>
        </w:rPr>
      </w:pPr>
    </w:p>
    <w:p w14:paraId="218332F6" w14:textId="77777777" w:rsidR="00745F30" w:rsidRPr="00225669" w:rsidRDefault="00F76E35" w:rsidP="00137DFE">
      <w:pPr>
        <w:pStyle w:val="Heading2"/>
        <w:rPr>
          <w:rFonts w:ascii="Arial" w:hAnsi="Arial" w:cs="Arial"/>
        </w:rPr>
      </w:pPr>
      <w:bookmarkStart w:id="27" w:name="_Toc311709500"/>
      <w:r w:rsidRPr="00225669">
        <w:rPr>
          <w:rFonts w:ascii="Arial" w:hAnsi="Arial" w:cs="Arial"/>
        </w:rPr>
        <w:t>Funding Levels, Mechanisms</w:t>
      </w:r>
      <w:r w:rsidR="00A36728" w:rsidRPr="00225669">
        <w:rPr>
          <w:rFonts w:ascii="Arial" w:hAnsi="Arial" w:cs="Arial"/>
        </w:rPr>
        <w:t xml:space="preserve"> and </w:t>
      </w:r>
      <w:r w:rsidRPr="00225669">
        <w:rPr>
          <w:rFonts w:ascii="Arial" w:hAnsi="Arial" w:cs="Arial"/>
        </w:rPr>
        <w:t>Channels</w:t>
      </w:r>
      <w:bookmarkEnd w:id="27"/>
    </w:p>
    <w:p w14:paraId="71DF5B98" w14:textId="131BE82F" w:rsidR="00C2738B" w:rsidRPr="00225669" w:rsidRDefault="00C2738B" w:rsidP="00137DFE">
      <w:pPr>
        <w:pStyle w:val="PolicyBrief1"/>
      </w:pPr>
      <w:r w:rsidRPr="00225669">
        <w:t>T</w:t>
      </w:r>
      <w:r w:rsidR="003627A2" w:rsidRPr="00225669">
        <w:t>he schematic below shows the funds that are statuorily allocated to the Niger Delta region. The funds include the 13 percent derivation, allocation from the Federation Account to the States and Local Governments in the region, allocations from the pool of Value Added Tax (VAT) to the States and Local Governments in the region, allocation from the Special Funds to the Natural Resources Funds, Ecological Fund, the portion of the allocations from the Federal Budget to the Ministries, Departments and Agencies to the States in the Niger Delta region, and, finally, statutory transfers to the Niger Delta Development Commission.</w:t>
      </w:r>
    </w:p>
    <w:p w14:paraId="5AC27A6C" w14:textId="77777777" w:rsidR="00C2738B" w:rsidRPr="00225669" w:rsidRDefault="00C2738B" w:rsidP="00137DFE">
      <w:pPr>
        <w:jc w:val="both"/>
      </w:pPr>
    </w:p>
    <w:p w14:paraId="6D19E777" w14:textId="28D58306" w:rsidR="00B85CCF" w:rsidRPr="00225669" w:rsidRDefault="00C2738B" w:rsidP="00AC1799">
      <w:pPr>
        <w:pStyle w:val="ListParagraph"/>
        <w:widowControl w:val="0"/>
        <w:numPr>
          <w:ilvl w:val="0"/>
          <w:numId w:val="38"/>
        </w:numPr>
        <w:tabs>
          <w:tab w:val="num" w:pos="993"/>
        </w:tabs>
        <w:autoSpaceDE w:val="0"/>
        <w:autoSpaceDN w:val="0"/>
        <w:adjustRightInd w:val="0"/>
        <w:jc w:val="both"/>
        <w:rPr>
          <w:rFonts w:cs="Arial"/>
          <w:sz w:val="20"/>
        </w:rPr>
      </w:pPr>
      <w:r w:rsidRPr="00225669">
        <w:rPr>
          <w:rFonts w:cs="Arial"/>
          <w:noProof/>
          <w:sz w:val="20"/>
          <w:lang w:val="en-US"/>
        </w:rPr>
        <w:drawing>
          <wp:anchor distT="0" distB="0" distL="114300" distR="114300" simplePos="0" relativeHeight="251656704" behindDoc="0" locked="0" layoutInCell="1" allowOverlap="1" wp14:anchorId="5762330B" wp14:editId="334DDCEA">
            <wp:simplePos x="0" y="0"/>
            <wp:positionH relativeFrom="column">
              <wp:posOffset>0</wp:posOffset>
            </wp:positionH>
            <wp:positionV relativeFrom="paragraph">
              <wp:posOffset>271145</wp:posOffset>
            </wp:positionV>
            <wp:extent cx="5640070" cy="3543300"/>
            <wp:effectExtent l="0" t="0" r="0" b="12700"/>
            <wp:wrapTopAndBottom/>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0070"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130" w:rsidRPr="00225669">
        <w:rPr>
          <w:rFonts w:cs="Arial"/>
          <w:sz w:val="20"/>
        </w:rPr>
        <w:t xml:space="preserve"> Schematic showing formula for sharing FGN revenue</w:t>
      </w:r>
      <w:r w:rsidR="005964D5" w:rsidRPr="00225669">
        <w:rPr>
          <w:rFonts w:cs="Arial"/>
          <w:sz w:val="20"/>
        </w:rPr>
        <w:br w:type="page"/>
      </w:r>
    </w:p>
    <w:p w14:paraId="15D1B186" w14:textId="77777777" w:rsidR="00B85CCF" w:rsidRPr="00225669" w:rsidRDefault="00B85CCF" w:rsidP="00AC1799">
      <w:pPr>
        <w:pStyle w:val="ListParagraph"/>
        <w:widowControl w:val="0"/>
        <w:numPr>
          <w:ilvl w:val="0"/>
          <w:numId w:val="38"/>
        </w:numPr>
        <w:tabs>
          <w:tab w:val="num" w:pos="993"/>
        </w:tabs>
        <w:autoSpaceDE w:val="0"/>
        <w:autoSpaceDN w:val="0"/>
        <w:adjustRightInd w:val="0"/>
        <w:jc w:val="both"/>
        <w:rPr>
          <w:rFonts w:cs="Arial"/>
          <w:sz w:val="20"/>
        </w:rPr>
        <w:sectPr w:rsidR="00B85CCF" w:rsidRPr="00225669" w:rsidSect="00F202D5">
          <w:headerReference w:type="default" r:id="rId11"/>
          <w:footerReference w:type="default" r:id="rId12"/>
          <w:headerReference w:type="first" r:id="rId13"/>
          <w:footerReference w:type="first" r:id="rId14"/>
          <w:type w:val="continuous"/>
          <w:pgSz w:w="11900" w:h="16840"/>
          <w:pgMar w:top="1134" w:right="1418" w:bottom="1134" w:left="1418" w:header="709" w:footer="709" w:gutter="0"/>
          <w:cols w:space="708"/>
          <w:titlePg/>
          <w:docGrid w:linePitch="360"/>
        </w:sectPr>
      </w:pPr>
    </w:p>
    <w:p w14:paraId="78559B63" w14:textId="26C9C42C" w:rsidR="00B85CCF" w:rsidRPr="00225669" w:rsidRDefault="00B85CCF" w:rsidP="00DF238D">
      <w:pPr>
        <w:pStyle w:val="PolicyBrief1"/>
      </w:pPr>
      <w:r w:rsidRPr="00225669">
        <w:t xml:space="preserve">Based on the above-mentioned criteria, eleven (11) funds are </w:t>
      </w:r>
      <w:r w:rsidR="00DF238D" w:rsidRPr="00225669">
        <w:t xml:space="preserve">selected and </w:t>
      </w:r>
      <w:r w:rsidRPr="00225669">
        <w:t>reviewed.</w:t>
      </w:r>
      <w:r w:rsidR="00DF238D" w:rsidRPr="00225669">
        <w:t xml:space="preserve"> The table below presents a list of the funds, estimated amount (in trillions of naira) allocated to the region, purpose of the fund, target beneficiaries, funding channels and the focus areas for development.</w:t>
      </w:r>
    </w:p>
    <w:p w14:paraId="0737252C" w14:textId="77777777" w:rsidR="00B85CCF" w:rsidRPr="00225669" w:rsidRDefault="00B85CCF" w:rsidP="00B85CCF">
      <w:pPr>
        <w:shd w:val="clear" w:color="auto" w:fill="FFFFFF"/>
        <w:spacing w:line="196" w:lineRule="atLeast"/>
        <w:jc w:val="both"/>
        <w:rPr>
          <w:rFonts w:eastAsia="Times New Roman" w:cs="Arial"/>
          <w:color w:val="002060"/>
        </w:rPr>
      </w:pPr>
    </w:p>
    <w:p w14:paraId="7713C5E8" w14:textId="3B45DA1E" w:rsidR="00A749AD" w:rsidRPr="00225669" w:rsidRDefault="00A749AD" w:rsidP="00EB2031">
      <w:pPr>
        <w:pStyle w:val="TableList"/>
      </w:pPr>
      <w:bookmarkStart w:id="28" w:name="_Toc311707936"/>
      <w:r w:rsidRPr="00225669">
        <w:t>Fund Flows into the Niger Delta from (2010-2014)</w:t>
      </w:r>
      <w:bookmarkEnd w:id="28"/>
    </w:p>
    <w:tbl>
      <w:tblPr>
        <w:tblStyle w:val="TableProfessional"/>
        <w:tblW w:w="14757" w:type="dxa"/>
        <w:shd w:val="clear" w:color="auto" w:fill="8DB3E2" w:themeFill="text2" w:themeFillTint="66"/>
        <w:tblLayout w:type="fixed"/>
        <w:tblLook w:val="04A0" w:firstRow="1" w:lastRow="0" w:firstColumn="1" w:lastColumn="0" w:noHBand="0" w:noVBand="1"/>
      </w:tblPr>
      <w:tblGrid>
        <w:gridCol w:w="675"/>
        <w:gridCol w:w="3544"/>
        <w:gridCol w:w="1276"/>
        <w:gridCol w:w="2693"/>
        <w:gridCol w:w="2268"/>
        <w:gridCol w:w="2693"/>
        <w:gridCol w:w="1608"/>
      </w:tblGrid>
      <w:tr w:rsidR="007B44BE" w:rsidRPr="00225669" w14:paraId="55EF4EF6" w14:textId="77777777" w:rsidTr="00DF238D">
        <w:trPr>
          <w:cnfStyle w:val="100000000000" w:firstRow="1" w:lastRow="0" w:firstColumn="0" w:lastColumn="0" w:oddVBand="0" w:evenVBand="0" w:oddHBand="0" w:evenHBand="0" w:firstRowFirstColumn="0" w:firstRowLastColumn="0" w:lastRowFirstColumn="0" w:lastRowLastColumn="0"/>
          <w:trHeight w:val="900"/>
        </w:trPr>
        <w:tc>
          <w:tcPr>
            <w:tcW w:w="675" w:type="dxa"/>
            <w:shd w:val="clear" w:color="auto" w:fill="31849B" w:themeFill="accent5" w:themeFillShade="BF"/>
            <w:noWrap/>
            <w:vAlign w:val="center"/>
            <w:hideMark/>
          </w:tcPr>
          <w:p w14:paraId="6101F99E" w14:textId="77777777" w:rsidR="007B44BE" w:rsidRPr="00225669" w:rsidRDefault="007B44BE" w:rsidP="00DF238D">
            <w:pPr>
              <w:jc w:val="center"/>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S/N</w:t>
            </w:r>
          </w:p>
        </w:tc>
        <w:tc>
          <w:tcPr>
            <w:tcW w:w="3544" w:type="dxa"/>
            <w:shd w:val="clear" w:color="auto" w:fill="31849B" w:themeFill="accent5" w:themeFillShade="BF"/>
            <w:noWrap/>
            <w:vAlign w:val="center"/>
            <w:hideMark/>
          </w:tcPr>
          <w:p w14:paraId="23D21DCF"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List of Funds</w:t>
            </w:r>
          </w:p>
        </w:tc>
        <w:tc>
          <w:tcPr>
            <w:tcW w:w="1276" w:type="dxa"/>
            <w:shd w:val="clear" w:color="auto" w:fill="31849B" w:themeFill="accent5" w:themeFillShade="BF"/>
            <w:vAlign w:val="center"/>
            <w:hideMark/>
          </w:tcPr>
          <w:p w14:paraId="4ECE47E5"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Est. Amount</w:t>
            </w:r>
          </w:p>
          <w:p w14:paraId="5AA8F0C9" w14:textId="4D501369" w:rsidR="007B44BE" w:rsidRPr="00225669" w:rsidRDefault="00DF238D" w:rsidP="00137DFE">
            <w:pPr>
              <w:jc w:val="both"/>
              <w:rPr>
                <w:rFonts w:eastAsia="Times New Roman" w:cs="Arial"/>
                <w:bCs w:val="0"/>
                <w:color w:val="FFFFFF" w:themeColor="background1"/>
                <w:sz w:val="20"/>
                <w:szCs w:val="20"/>
              </w:rPr>
            </w:pPr>
            <w:r w:rsidRPr="00225669">
              <w:rPr>
                <w:rFonts w:cs="Arial"/>
                <w:dstrike/>
                <w:color w:val="FFFFFF" w:themeColor="background1"/>
                <w:sz w:val="20"/>
                <w:szCs w:val="20"/>
              </w:rPr>
              <w:t>N</w:t>
            </w:r>
            <w:r w:rsidRPr="00225669">
              <w:rPr>
                <w:rFonts w:cs="Arial"/>
                <w:color w:val="FFFFFF" w:themeColor="background1"/>
                <w:sz w:val="20"/>
                <w:szCs w:val="20"/>
              </w:rPr>
              <w:t>’T</w:t>
            </w:r>
            <w:r w:rsidRPr="00225669">
              <w:rPr>
                <w:rFonts w:eastAsia="Times New Roman" w:cs="Arial"/>
                <w:bCs w:val="0"/>
                <w:color w:val="FFFFFF" w:themeColor="background1"/>
                <w:sz w:val="20"/>
                <w:szCs w:val="20"/>
              </w:rPr>
              <w:t>rillion</w:t>
            </w:r>
          </w:p>
        </w:tc>
        <w:tc>
          <w:tcPr>
            <w:tcW w:w="2693" w:type="dxa"/>
            <w:shd w:val="clear" w:color="auto" w:fill="31849B" w:themeFill="accent5" w:themeFillShade="BF"/>
            <w:noWrap/>
            <w:vAlign w:val="center"/>
            <w:hideMark/>
          </w:tcPr>
          <w:p w14:paraId="1E2A2BA2"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Purpose of Fund</w:t>
            </w:r>
          </w:p>
        </w:tc>
        <w:tc>
          <w:tcPr>
            <w:tcW w:w="2268" w:type="dxa"/>
            <w:shd w:val="clear" w:color="auto" w:fill="31849B" w:themeFill="accent5" w:themeFillShade="BF"/>
            <w:noWrap/>
            <w:vAlign w:val="center"/>
            <w:hideMark/>
          </w:tcPr>
          <w:p w14:paraId="52D8ACCF"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Target Beneficiaries</w:t>
            </w:r>
          </w:p>
        </w:tc>
        <w:tc>
          <w:tcPr>
            <w:tcW w:w="2693" w:type="dxa"/>
            <w:shd w:val="clear" w:color="auto" w:fill="31849B" w:themeFill="accent5" w:themeFillShade="BF"/>
            <w:noWrap/>
            <w:vAlign w:val="center"/>
            <w:hideMark/>
          </w:tcPr>
          <w:p w14:paraId="5D6A5B90"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Funding Channels</w:t>
            </w:r>
          </w:p>
        </w:tc>
        <w:tc>
          <w:tcPr>
            <w:tcW w:w="1608" w:type="dxa"/>
            <w:shd w:val="clear" w:color="auto" w:fill="31849B" w:themeFill="accent5" w:themeFillShade="BF"/>
            <w:noWrap/>
            <w:vAlign w:val="center"/>
            <w:hideMark/>
          </w:tcPr>
          <w:p w14:paraId="54477F66" w14:textId="77777777" w:rsidR="007B44BE" w:rsidRPr="00225669" w:rsidRDefault="007B44BE" w:rsidP="00137DFE">
            <w:pPr>
              <w:jc w:val="both"/>
              <w:rPr>
                <w:rFonts w:eastAsia="Times New Roman" w:cs="Arial"/>
                <w:bCs w:val="0"/>
                <w:color w:val="FFFFFF" w:themeColor="background1"/>
                <w:sz w:val="20"/>
                <w:szCs w:val="20"/>
              </w:rPr>
            </w:pPr>
            <w:r w:rsidRPr="00225669">
              <w:rPr>
                <w:rFonts w:eastAsia="Times New Roman" w:cs="Arial"/>
                <w:bCs w:val="0"/>
                <w:color w:val="FFFFFF" w:themeColor="background1"/>
                <w:sz w:val="20"/>
                <w:szCs w:val="20"/>
              </w:rPr>
              <w:t>Focus Areas</w:t>
            </w:r>
          </w:p>
        </w:tc>
      </w:tr>
      <w:tr w:rsidR="007B44BE" w:rsidRPr="00225669" w14:paraId="33CD62F1" w14:textId="77777777" w:rsidTr="00DF238D">
        <w:trPr>
          <w:trHeight w:val="1194"/>
        </w:trPr>
        <w:tc>
          <w:tcPr>
            <w:tcW w:w="675" w:type="dxa"/>
            <w:noWrap/>
            <w:hideMark/>
          </w:tcPr>
          <w:p w14:paraId="58B50437"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1</w:t>
            </w:r>
          </w:p>
        </w:tc>
        <w:tc>
          <w:tcPr>
            <w:tcW w:w="3544" w:type="dxa"/>
            <w:hideMark/>
          </w:tcPr>
          <w:p w14:paraId="2822386F" w14:textId="77777777" w:rsidR="007B44BE" w:rsidRDefault="007B44BE" w:rsidP="00137DFE">
            <w:pPr>
              <w:jc w:val="both"/>
              <w:rPr>
                <w:rFonts w:eastAsia="Times New Roman" w:cs="Arial"/>
                <w:sz w:val="20"/>
                <w:szCs w:val="20"/>
              </w:rPr>
            </w:pPr>
            <w:r w:rsidRPr="00225669">
              <w:rPr>
                <w:rFonts w:eastAsia="Times New Roman" w:cs="Arial"/>
                <w:b/>
                <w:bCs/>
                <w:sz w:val="20"/>
                <w:szCs w:val="20"/>
              </w:rPr>
              <w:t>Ministry of Niger Delta Affairs (MNDA):</w:t>
            </w:r>
            <w:r w:rsidRPr="00225669">
              <w:rPr>
                <w:rFonts w:eastAsia="Times New Roman" w:cs="Arial"/>
                <w:sz w:val="20"/>
                <w:szCs w:val="20"/>
              </w:rPr>
              <w:t xml:space="preserve"> Set up in 2008 to formulate and coordinate policies for the development and security of the Niger Delta region</w:t>
            </w:r>
          </w:p>
          <w:p w14:paraId="336F8B72" w14:textId="57C8D976" w:rsidR="007F7909" w:rsidRPr="00225669" w:rsidRDefault="007F7909" w:rsidP="007F7909">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See Table 4 in Annexes</w:t>
            </w:r>
            <w:r>
              <w:rPr>
                <w:rFonts w:eastAsia="Times New Roman" w:cs="Arial"/>
                <w:sz w:val="20"/>
                <w:szCs w:val="20"/>
              </w:rPr>
              <w:t>)</w:t>
            </w:r>
          </w:p>
        </w:tc>
        <w:tc>
          <w:tcPr>
            <w:tcW w:w="1276" w:type="dxa"/>
            <w:noWrap/>
            <w:hideMark/>
          </w:tcPr>
          <w:p w14:paraId="5945699B"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0.39 trillion</w:t>
            </w:r>
          </w:p>
        </w:tc>
        <w:tc>
          <w:tcPr>
            <w:tcW w:w="2693" w:type="dxa"/>
            <w:hideMark/>
          </w:tcPr>
          <w:p w14:paraId="56F14D4D"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Formulate and coordinate policy initiatives for the</w:t>
            </w:r>
            <w:r w:rsidRPr="00225669">
              <w:rPr>
                <w:rFonts w:eastAsia="Times New Roman" w:cs="Arial"/>
                <w:b/>
                <w:bCs/>
                <w:sz w:val="20"/>
                <w:szCs w:val="20"/>
              </w:rPr>
              <w:t xml:space="preserve"> development</w:t>
            </w:r>
            <w:r w:rsidRPr="00225669">
              <w:rPr>
                <w:rFonts w:eastAsia="Times New Roman" w:cs="Arial"/>
                <w:sz w:val="20"/>
                <w:szCs w:val="20"/>
              </w:rPr>
              <w:t xml:space="preserve"> and </w:t>
            </w:r>
            <w:r w:rsidRPr="00225669">
              <w:rPr>
                <w:rFonts w:eastAsia="Times New Roman" w:cs="Arial"/>
                <w:b/>
                <w:bCs/>
                <w:sz w:val="20"/>
                <w:szCs w:val="20"/>
              </w:rPr>
              <w:t>security</w:t>
            </w:r>
            <w:r w:rsidRPr="00225669">
              <w:rPr>
                <w:rFonts w:eastAsia="Times New Roman" w:cs="Arial"/>
                <w:sz w:val="20"/>
                <w:szCs w:val="20"/>
              </w:rPr>
              <w:t xml:space="preserve"> of the region.</w:t>
            </w:r>
          </w:p>
          <w:p w14:paraId="022F75B1" w14:textId="313EEACC" w:rsidR="007B44BE" w:rsidRPr="00225669" w:rsidRDefault="007B44BE" w:rsidP="00D50633">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Serve as the primary vehicle for the execution of government’s plans and programmes for socio-economic development of region</w:t>
            </w:r>
          </w:p>
        </w:tc>
        <w:tc>
          <w:tcPr>
            <w:tcW w:w="2268" w:type="dxa"/>
            <w:noWrap/>
            <w:hideMark/>
          </w:tcPr>
          <w:p w14:paraId="71C2BE4C"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Indigenes of the Niger Delta States</w:t>
            </w:r>
          </w:p>
        </w:tc>
        <w:tc>
          <w:tcPr>
            <w:tcW w:w="2693" w:type="dxa"/>
            <w:hideMark/>
          </w:tcPr>
          <w:p w14:paraId="570B4FE3"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Federation account of the Federal Government of Nigeria</w:t>
            </w:r>
          </w:p>
          <w:p w14:paraId="6804A5FB"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Subsidy Reinvestment and Empowerment Programme (SURE-P) infrastructure projects (2012-2014)</w:t>
            </w:r>
          </w:p>
        </w:tc>
        <w:tc>
          <w:tcPr>
            <w:tcW w:w="1608" w:type="dxa"/>
            <w:noWrap/>
            <w:hideMark/>
          </w:tcPr>
          <w:p w14:paraId="15608B51"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2803FE4E" w14:textId="77777777" w:rsidTr="00DF238D">
        <w:trPr>
          <w:trHeight w:val="1744"/>
        </w:trPr>
        <w:tc>
          <w:tcPr>
            <w:tcW w:w="675" w:type="dxa"/>
            <w:noWrap/>
            <w:hideMark/>
          </w:tcPr>
          <w:p w14:paraId="69597A16"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2</w:t>
            </w:r>
          </w:p>
        </w:tc>
        <w:tc>
          <w:tcPr>
            <w:tcW w:w="3544" w:type="dxa"/>
            <w:hideMark/>
          </w:tcPr>
          <w:p w14:paraId="0C01C74B" w14:textId="77777777" w:rsidR="007B44BE" w:rsidRDefault="007B44BE" w:rsidP="00137DFE">
            <w:pPr>
              <w:jc w:val="both"/>
              <w:rPr>
                <w:rFonts w:eastAsia="Times New Roman" w:cs="Arial"/>
                <w:sz w:val="20"/>
                <w:szCs w:val="20"/>
              </w:rPr>
            </w:pPr>
            <w:r w:rsidRPr="00225669">
              <w:rPr>
                <w:rFonts w:eastAsia="Times New Roman" w:cs="Arial"/>
                <w:b/>
                <w:bCs/>
                <w:sz w:val="20"/>
                <w:szCs w:val="20"/>
              </w:rPr>
              <w:t>Niger Delta Development Commission (NDDC):</w:t>
            </w:r>
            <w:r w:rsidRPr="00225669">
              <w:rPr>
                <w:rFonts w:eastAsia="Times New Roman" w:cs="Arial"/>
                <w:sz w:val="20"/>
                <w:szCs w:val="20"/>
              </w:rPr>
              <w:t xml:space="preserve"> Set up in 2000 to facilitate the rapid, even and sustainable development of the Niger Delta into a region that is economically prosperous, socially stable, ecologically regenerative and politically peaceful</w:t>
            </w:r>
          </w:p>
          <w:p w14:paraId="28AD8339" w14:textId="20133E01" w:rsidR="00CF369C" w:rsidRPr="00225669" w:rsidRDefault="00CF369C" w:rsidP="00CF369C">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5</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238FE465"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0.92 trillion</w:t>
            </w:r>
          </w:p>
        </w:tc>
        <w:tc>
          <w:tcPr>
            <w:tcW w:w="2693" w:type="dxa"/>
            <w:hideMark/>
          </w:tcPr>
          <w:p w14:paraId="6239C37E"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Facilitate development and tackle ecological problems arising from exploration</w:t>
            </w:r>
          </w:p>
        </w:tc>
        <w:tc>
          <w:tcPr>
            <w:tcW w:w="2268" w:type="dxa"/>
            <w:hideMark/>
          </w:tcPr>
          <w:p w14:paraId="5D0D9994"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Local communities with emphasis on vulnerable populations</w:t>
            </w:r>
          </w:p>
        </w:tc>
        <w:tc>
          <w:tcPr>
            <w:tcW w:w="2693" w:type="dxa"/>
            <w:hideMark/>
          </w:tcPr>
          <w:p w14:paraId="6DC9B6AD"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15 percent of monthly allocations to Niger Delta states</w:t>
            </w:r>
          </w:p>
          <w:p w14:paraId="6E720AF9"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3 percent of annual budget of oil production companies in the region</w:t>
            </w:r>
          </w:p>
          <w:p w14:paraId="281BE3AD"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50 percent of Ecological Fund due to Niger Delta states</w:t>
            </w:r>
            <w:r w:rsidRPr="00225669">
              <w:rPr>
                <w:rFonts w:eastAsia="Times New Roman" w:cs="Arial"/>
                <w:sz w:val="20"/>
                <w:szCs w:val="20"/>
              </w:rPr>
              <w:br/>
              <w:t>Support from development agencies, donations, grants, etc.</w:t>
            </w:r>
          </w:p>
        </w:tc>
        <w:tc>
          <w:tcPr>
            <w:tcW w:w="1608" w:type="dxa"/>
            <w:noWrap/>
            <w:hideMark/>
          </w:tcPr>
          <w:p w14:paraId="50FA2901"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1316C174" w14:textId="77777777" w:rsidTr="00DF238D">
        <w:trPr>
          <w:trHeight w:val="1334"/>
        </w:trPr>
        <w:tc>
          <w:tcPr>
            <w:tcW w:w="675" w:type="dxa"/>
            <w:noWrap/>
            <w:hideMark/>
          </w:tcPr>
          <w:p w14:paraId="3C3FC23D"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3</w:t>
            </w:r>
          </w:p>
        </w:tc>
        <w:tc>
          <w:tcPr>
            <w:tcW w:w="3544" w:type="dxa"/>
            <w:hideMark/>
          </w:tcPr>
          <w:p w14:paraId="711B7C54" w14:textId="77777777" w:rsidR="007B44BE" w:rsidRDefault="007B44BE" w:rsidP="00137DFE">
            <w:pPr>
              <w:jc w:val="both"/>
              <w:rPr>
                <w:rFonts w:eastAsia="Times New Roman" w:cs="Arial"/>
                <w:sz w:val="20"/>
                <w:szCs w:val="20"/>
              </w:rPr>
            </w:pPr>
            <w:r w:rsidRPr="00225669">
              <w:rPr>
                <w:rFonts w:eastAsia="Times New Roman" w:cs="Arial"/>
                <w:b/>
                <w:bCs/>
                <w:sz w:val="20"/>
                <w:szCs w:val="20"/>
              </w:rPr>
              <w:t>Presidential Amnesty Programme (PAP):</w:t>
            </w:r>
            <w:r w:rsidRPr="00225669">
              <w:rPr>
                <w:rFonts w:eastAsia="Times New Roman" w:cs="Arial"/>
                <w:sz w:val="20"/>
                <w:szCs w:val="20"/>
              </w:rPr>
              <w:t xml:space="preserve"> Set up in 2009 to stabilise the security conditions in the region as a precondition for promoting economic development</w:t>
            </w:r>
          </w:p>
          <w:p w14:paraId="750B7812" w14:textId="595BC91B" w:rsidR="00D50633" w:rsidRPr="00225669" w:rsidRDefault="00D50633" w:rsidP="00D50633">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6</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540A498B"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0.27 trillion</w:t>
            </w:r>
          </w:p>
        </w:tc>
        <w:tc>
          <w:tcPr>
            <w:tcW w:w="2693" w:type="dxa"/>
            <w:hideMark/>
          </w:tcPr>
          <w:p w14:paraId="29B42ED7"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Achieve security stabilisation as a perquisite for intensive development and socio economic activities in the region</w:t>
            </w:r>
          </w:p>
        </w:tc>
        <w:tc>
          <w:tcPr>
            <w:tcW w:w="2268" w:type="dxa"/>
            <w:hideMark/>
          </w:tcPr>
          <w:p w14:paraId="0075C3AE"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30,000 ex-militants and members of violence-impacted communities</w:t>
            </w:r>
          </w:p>
        </w:tc>
        <w:tc>
          <w:tcPr>
            <w:tcW w:w="2693" w:type="dxa"/>
            <w:hideMark/>
          </w:tcPr>
          <w:p w14:paraId="40E087F5"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Initial funding for disarmament and demobilisation came from the Security Vote in the Office of the President</w:t>
            </w:r>
          </w:p>
          <w:p w14:paraId="00CCA01F"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Statutory allocation to the OSAPND for reintegration programme</w:t>
            </w:r>
          </w:p>
        </w:tc>
        <w:tc>
          <w:tcPr>
            <w:tcW w:w="1608" w:type="dxa"/>
            <w:noWrap/>
            <w:hideMark/>
          </w:tcPr>
          <w:p w14:paraId="4527633C"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Security stabilisation</w:t>
            </w:r>
          </w:p>
        </w:tc>
      </w:tr>
      <w:tr w:rsidR="007B44BE" w:rsidRPr="00225669" w14:paraId="0FC825D8" w14:textId="77777777" w:rsidTr="00DF238D">
        <w:trPr>
          <w:trHeight w:val="1173"/>
        </w:trPr>
        <w:tc>
          <w:tcPr>
            <w:tcW w:w="675" w:type="dxa"/>
            <w:noWrap/>
            <w:hideMark/>
          </w:tcPr>
          <w:p w14:paraId="6B08371C"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4</w:t>
            </w:r>
          </w:p>
        </w:tc>
        <w:tc>
          <w:tcPr>
            <w:tcW w:w="3544" w:type="dxa"/>
            <w:hideMark/>
          </w:tcPr>
          <w:p w14:paraId="55C273B8" w14:textId="77777777" w:rsidR="007B44BE" w:rsidRDefault="007B44BE" w:rsidP="00137DFE">
            <w:pPr>
              <w:jc w:val="both"/>
              <w:rPr>
                <w:rFonts w:eastAsia="Times New Roman" w:cs="Arial"/>
                <w:sz w:val="20"/>
                <w:szCs w:val="20"/>
              </w:rPr>
            </w:pPr>
            <w:r w:rsidRPr="00225669">
              <w:rPr>
                <w:rFonts w:eastAsia="Times New Roman" w:cs="Arial"/>
                <w:b/>
                <w:bCs/>
                <w:sz w:val="20"/>
                <w:szCs w:val="20"/>
              </w:rPr>
              <w:t>State Budgets:</w:t>
            </w:r>
            <w:r w:rsidRPr="00225669">
              <w:rPr>
                <w:rFonts w:eastAsia="Times New Roman" w:cs="Arial"/>
                <w:sz w:val="20"/>
                <w:szCs w:val="20"/>
              </w:rPr>
              <w:t xml:space="preserve"> The 9 States in the Niger Delta region receive 13 percent of all the sales below the benchmark crude oil price used in the budget in addition to other statutory allocations</w:t>
            </w:r>
          </w:p>
          <w:p w14:paraId="35372150" w14:textId="6A1C58F5" w:rsidR="00D50633" w:rsidRPr="00225669" w:rsidRDefault="00D50633" w:rsidP="00D50633">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7</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1F05C285"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5.22 trillion</w:t>
            </w:r>
          </w:p>
        </w:tc>
        <w:tc>
          <w:tcPr>
            <w:tcW w:w="2693" w:type="dxa"/>
            <w:hideMark/>
          </w:tcPr>
          <w:p w14:paraId="3B043498"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General purpose of developing the states.</w:t>
            </w:r>
          </w:p>
          <w:p w14:paraId="2B62819D"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Special 13 percent mineral derivation is intended to augment the statutory allocations vis-à-vis the adverse effects of oil drilling in the region.</w:t>
            </w:r>
          </w:p>
        </w:tc>
        <w:tc>
          <w:tcPr>
            <w:tcW w:w="2268" w:type="dxa"/>
            <w:noWrap/>
            <w:hideMark/>
          </w:tcPr>
          <w:p w14:paraId="7D132811"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Indigenes and residents of the Niger Delta States</w:t>
            </w:r>
          </w:p>
        </w:tc>
        <w:tc>
          <w:tcPr>
            <w:tcW w:w="2693" w:type="dxa"/>
            <w:hideMark/>
          </w:tcPr>
          <w:p w14:paraId="62F511AE"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Federation Account Allocation Committee distributes the allocations to the individual states in the region</w:t>
            </w:r>
          </w:p>
        </w:tc>
        <w:tc>
          <w:tcPr>
            <w:tcW w:w="1608" w:type="dxa"/>
            <w:noWrap/>
            <w:hideMark/>
          </w:tcPr>
          <w:p w14:paraId="6EB423A3"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437C3317" w14:textId="77777777" w:rsidTr="00DF238D">
        <w:trPr>
          <w:trHeight w:val="798"/>
        </w:trPr>
        <w:tc>
          <w:tcPr>
            <w:tcW w:w="675" w:type="dxa"/>
            <w:noWrap/>
            <w:hideMark/>
          </w:tcPr>
          <w:p w14:paraId="0C608C3D"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5</w:t>
            </w:r>
          </w:p>
        </w:tc>
        <w:tc>
          <w:tcPr>
            <w:tcW w:w="3544" w:type="dxa"/>
            <w:hideMark/>
          </w:tcPr>
          <w:p w14:paraId="5C8D9E7F" w14:textId="77777777" w:rsidR="007B44BE" w:rsidRDefault="007B44BE" w:rsidP="00137DFE">
            <w:pPr>
              <w:jc w:val="both"/>
              <w:rPr>
                <w:rFonts w:eastAsia="Times New Roman" w:cs="Arial"/>
                <w:sz w:val="20"/>
                <w:szCs w:val="20"/>
              </w:rPr>
            </w:pPr>
            <w:r w:rsidRPr="00225669">
              <w:rPr>
                <w:rFonts w:eastAsia="Times New Roman" w:cs="Arial"/>
                <w:b/>
                <w:bCs/>
                <w:sz w:val="20"/>
                <w:szCs w:val="20"/>
              </w:rPr>
              <w:t>Value Added Tax (VAT) to Local Government Areas:</w:t>
            </w:r>
            <w:r w:rsidRPr="00225669">
              <w:rPr>
                <w:rFonts w:eastAsia="Times New Roman" w:cs="Arial"/>
                <w:sz w:val="20"/>
                <w:szCs w:val="20"/>
              </w:rPr>
              <w:t xml:space="preserve"> VAT has been allocated to Local Government Areas in the Niger Delta region.</w:t>
            </w:r>
          </w:p>
          <w:p w14:paraId="6EF0BF8C" w14:textId="5B08326B" w:rsidR="00D50633" w:rsidRPr="00225669" w:rsidRDefault="00D50633" w:rsidP="00D50633">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8</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24F15153"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0.24 trillion</w:t>
            </w:r>
          </w:p>
        </w:tc>
        <w:tc>
          <w:tcPr>
            <w:tcW w:w="2693" w:type="dxa"/>
            <w:hideMark/>
          </w:tcPr>
          <w:p w14:paraId="58C9B38B"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For general development of the states and local government areas</w:t>
            </w:r>
          </w:p>
        </w:tc>
        <w:tc>
          <w:tcPr>
            <w:tcW w:w="2268" w:type="dxa"/>
            <w:hideMark/>
          </w:tcPr>
          <w:p w14:paraId="4CF9C5E5"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Citizens and residents of the States in the Niger Delta region</w:t>
            </w:r>
          </w:p>
        </w:tc>
        <w:tc>
          <w:tcPr>
            <w:tcW w:w="2693" w:type="dxa"/>
            <w:hideMark/>
          </w:tcPr>
          <w:p w14:paraId="2529B956"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Allocation through the Federation Account Allocation Committee</w:t>
            </w:r>
          </w:p>
        </w:tc>
        <w:tc>
          <w:tcPr>
            <w:tcW w:w="1608" w:type="dxa"/>
            <w:noWrap/>
            <w:hideMark/>
          </w:tcPr>
          <w:p w14:paraId="4CB7D53C"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11C47E0D" w14:textId="77777777" w:rsidTr="00DF238D">
        <w:trPr>
          <w:trHeight w:val="900"/>
        </w:trPr>
        <w:tc>
          <w:tcPr>
            <w:tcW w:w="675" w:type="dxa"/>
            <w:noWrap/>
            <w:hideMark/>
          </w:tcPr>
          <w:p w14:paraId="0EC0E076"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6</w:t>
            </w:r>
          </w:p>
        </w:tc>
        <w:tc>
          <w:tcPr>
            <w:tcW w:w="3544" w:type="dxa"/>
            <w:hideMark/>
          </w:tcPr>
          <w:p w14:paraId="186FBFF3" w14:textId="77777777" w:rsidR="007B44BE" w:rsidRPr="00225669" w:rsidRDefault="007B44BE" w:rsidP="00137DFE">
            <w:pPr>
              <w:jc w:val="both"/>
              <w:rPr>
                <w:rFonts w:eastAsia="Times New Roman" w:cs="Arial"/>
                <w:sz w:val="20"/>
                <w:szCs w:val="20"/>
              </w:rPr>
            </w:pPr>
            <w:r w:rsidRPr="00225669">
              <w:rPr>
                <w:rFonts w:eastAsia="Times New Roman" w:cs="Arial"/>
                <w:b/>
                <w:bCs/>
                <w:sz w:val="20"/>
                <w:szCs w:val="20"/>
              </w:rPr>
              <w:t>Hydrocarbon Pollution Restoration Project:</w:t>
            </w:r>
            <w:r w:rsidRPr="00225669">
              <w:rPr>
                <w:rFonts w:eastAsia="Times New Roman" w:cs="Arial"/>
                <w:sz w:val="20"/>
                <w:szCs w:val="20"/>
              </w:rPr>
              <w:t xml:space="preserve"> Set up in 2008 to formulate and coordinate policies for the development and security of the Niger Delta region</w:t>
            </w:r>
          </w:p>
        </w:tc>
        <w:tc>
          <w:tcPr>
            <w:tcW w:w="1276" w:type="dxa"/>
            <w:noWrap/>
            <w:hideMark/>
          </w:tcPr>
          <w:p w14:paraId="12237FC8"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0.002 trillion</w:t>
            </w:r>
          </w:p>
        </w:tc>
        <w:tc>
          <w:tcPr>
            <w:tcW w:w="2693" w:type="dxa"/>
            <w:hideMark/>
          </w:tcPr>
          <w:p w14:paraId="76E9DF77"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Implementation of the recommendations of UNEP environmental assessment of Ogoniland</w:t>
            </w:r>
          </w:p>
        </w:tc>
        <w:tc>
          <w:tcPr>
            <w:tcW w:w="2268" w:type="dxa"/>
            <w:hideMark/>
          </w:tcPr>
          <w:p w14:paraId="052EC0D6"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Indigenes and residents of Ogoniland in Rivers State, Nigeria</w:t>
            </w:r>
          </w:p>
        </w:tc>
        <w:tc>
          <w:tcPr>
            <w:tcW w:w="2693" w:type="dxa"/>
            <w:hideMark/>
          </w:tcPr>
          <w:p w14:paraId="6DA874BB"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Federal Government of Nigeria and the oil companies through the HYPREP Trust Fund</w:t>
            </w:r>
          </w:p>
        </w:tc>
        <w:tc>
          <w:tcPr>
            <w:tcW w:w="1608" w:type="dxa"/>
            <w:noWrap/>
            <w:hideMark/>
          </w:tcPr>
          <w:p w14:paraId="72932377"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Environmental remediation</w:t>
            </w:r>
          </w:p>
        </w:tc>
      </w:tr>
      <w:tr w:rsidR="007B44BE" w:rsidRPr="00225669" w14:paraId="28657C04" w14:textId="77777777" w:rsidTr="00DF238D">
        <w:trPr>
          <w:trHeight w:val="1090"/>
        </w:trPr>
        <w:tc>
          <w:tcPr>
            <w:tcW w:w="675" w:type="dxa"/>
            <w:noWrap/>
            <w:hideMark/>
          </w:tcPr>
          <w:p w14:paraId="3A2468E7"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7</w:t>
            </w:r>
          </w:p>
        </w:tc>
        <w:tc>
          <w:tcPr>
            <w:tcW w:w="3544" w:type="dxa"/>
            <w:hideMark/>
          </w:tcPr>
          <w:p w14:paraId="048AE5DA" w14:textId="77777777" w:rsidR="007B44BE" w:rsidRDefault="007B44BE" w:rsidP="00137DFE">
            <w:pPr>
              <w:jc w:val="both"/>
              <w:rPr>
                <w:rFonts w:eastAsia="Times New Roman" w:cs="Arial"/>
                <w:sz w:val="20"/>
                <w:szCs w:val="20"/>
              </w:rPr>
            </w:pPr>
            <w:r w:rsidRPr="00225669">
              <w:rPr>
                <w:rFonts w:eastAsia="Times New Roman" w:cs="Arial"/>
                <w:b/>
                <w:bCs/>
                <w:sz w:val="20"/>
                <w:szCs w:val="20"/>
              </w:rPr>
              <w:t xml:space="preserve">Oil Companies (GMoUs): </w:t>
            </w:r>
            <w:r w:rsidRPr="00225669">
              <w:rPr>
                <w:rFonts w:eastAsia="Times New Roman" w:cs="Arial"/>
                <w:sz w:val="20"/>
                <w:szCs w:val="20"/>
              </w:rPr>
              <w:t>Oil Companies in Nigeria signed a Global Memorandum of Understanding (GMoU) to promote community engagement and improve local participation in the Niger Delta region.</w:t>
            </w:r>
          </w:p>
          <w:p w14:paraId="21D937E4" w14:textId="298C4B45" w:rsidR="00037A70" w:rsidRPr="00225669" w:rsidRDefault="00037A70" w:rsidP="00037A70">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9</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2541F4BB"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0.07 trillion</w:t>
            </w:r>
          </w:p>
        </w:tc>
        <w:tc>
          <w:tcPr>
            <w:tcW w:w="2693" w:type="dxa"/>
            <w:hideMark/>
          </w:tcPr>
          <w:p w14:paraId="6E5667AC"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Economic empowerment, capacity building, and improving the lives of the people in the host communities</w:t>
            </w:r>
          </w:p>
        </w:tc>
        <w:tc>
          <w:tcPr>
            <w:tcW w:w="2268" w:type="dxa"/>
            <w:hideMark/>
          </w:tcPr>
          <w:p w14:paraId="03D4251A"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Members of the host communities</w:t>
            </w:r>
          </w:p>
        </w:tc>
        <w:tc>
          <w:tcPr>
            <w:tcW w:w="2693" w:type="dxa"/>
            <w:hideMark/>
          </w:tcPr>
          <w:p w14:paraId="7CA01468"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Oil companies and their joint venture partners</w:t>
            </w:r>
          </w:p>
        </w:tc>
        <w:tc>
          <w:tcPr>
            <w:tcW w:w="1608" w:type="dxa"/>
            <w:noWrap/>
            <w:hideMark/>
          </w:tcPr>
          <w:p w14:paraId="243BE24D"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684DB83B" w14:textId="77777777" w:rsidTr="00DF238D">
        <w:trPr>
          <w:trHeight w:val="1232"/>
        </w:trPr>
        <w:tc>
          <w:tcPr>
            <w:tcW w:w="675" w:type="dxa"/>
            <w:noWrap/>
            <w:hideMark/>
          </w:tcPr>
          <w:p w14:paraId="58536956"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8</w:t>
            </w:r>
          </w:p>
        </w:tc>
        <w:tc>
          <w:tcPr>
            <w:tcW w:w="3544" w:type="dxa"/>
            <w:hideMark/>
          </w:tcPr>
          <w:p w14:paraId="49C6ACE2" w14:textId="77777777" w:rsidR="007B44BE" w:rsidRDefault="007B44BE" w:rsidP="00137DFE">
            <w:pPr>
              <w:jc w:val="both"/>
              <w:rPr>
                <w:rFonts w:eastAsia="Times New Roman" w:cs="Arial"/>
                <w:sz w:val="20"/>
                <w:szCs w:val="20"/>
              </w:rPr>
            </w:pPr>
            <w:r w:rsidRPr="00225669">
              <w:rPr>
                <w:rFonts w:eastAsia="Times New Roman" w:cs="Arial"/>
                <w:b/>
                <w:bCs/>
                <w:sz w:val="20"/>
                <w:szCs w:val="20"/>
              </w:rPr>
              <w:t>Development Agencies:</w:t>
            </w:r>
            <w:r w:rsidRPr="00225669">
              <w:rPr>
                <w:rFonts w:eastAsia="Times New Roman" w:cs="Arial"/>
                <w:sz w:val="20"/>
                <w:szCs w:val="20"/>
              </w:rPr>
              <w:t xml:space="preserve"> Development agencies have partnered with both the State and Local government in setting up projects targeted at enhancing employment opportunities and socio-economic services in the Niger Delta region.</w:t>
            </w:r>
          </w:p>
          <w:p w14:paraId="12FCF7D0" w14:textId="40FD753B" w:rsidR="00543C17" w:rsidRPr="00225669" w:rsidRDefault="00543C17" w:rsidP="00543C17">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10</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0DBBABCD"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0.05 trillion</w:t>
            </w:r>
          </w:p>
        </w:tc>
        <w:tc>
          <w:tcPr>
            <w:tcW w:w="2693" w:type="dxa"/>
            <w:hideMark/>
          </w:tcPr>
          <w:p w14:paraId="73BA84A7"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Address socio-economic challenges in the Niger Delta</w:t>
            </w:r>
          </w:p>
          <w:p w14:paraId="557FE8D0"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Increase employment opportunities/ income of the people in the region</w:t>
            </w:r>
          </w:p>
        </w:tc>
        <w:tc>
          <w:tcPr>
            <w:tcW w:w="2268" w:type="dxa"/>
            <w:noWrap/>
            <w:hideMark/>
          </w:tcPr>
          <w:p w14:paraId="27134E01"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Indigenes and residents of the Niger Delta States</w:t>
            </w:r>
          </w:p>
        </w:tc>
        <w:tc>
          <w:tcPr>
            <w:tcW w:w="2693" w:type="dxa"/>
            <w:hideMark/>
          </w:tcPr>
          <w:p w14:paraId="2AA4390F"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Development agencies through state government, community based organisations, civil society organisations, etc.</w:t>
            </w:r>
          </w:p>
        </w:tc>
        <w:tc>
          <w:tcPr>
            <w:tcW w:w="1608" w:type="dxa"/>
            <w:noWrap/>
            <w:hideMark/>
          </w:tcPr>
          <w:p w14:paraId="792DACDE"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development areas</w:t>
            </w:r>
          </w:p>
        </w:tc>
      </w:tr>
      <w:tr w:rsidR="007B44BE" w:rsidRPr="00225669" w14:paraId="21BD8285" w14:textId="77777777" w:rsidTr="00DF238D">
        <w:trPr>
          <w:trHeight w:val="835"/>
        </w:trPr>
        <w:tc>
          <w:tcPr>
            <w:tcW w:w="675" w:type="dxa"/>
            <w:noWrap/>
            <w:hideMark/>
          </w:tcPr>
          <w:p w14:paraId="08A1ABBE"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9</w:t>
            </w:r>
          </w:p>
        </w:tc>
        <w:tc>
          <w:tcPr>
            <w:tcW w:w="3544" w:type="dxa"/>
            <w:hideMark/>
          </w:tcPr>
          <w:p w14:paraId="56873CD6" w14:textId="77777777" w:rsidR="007B44BE" w:rsidRDefault="007B44BE" w:rsidP="00137DFE">
            <w:pPr>
              <w:jc w:val="both"/>
              <w:rPr>
                <w:rFonts w:eastAsia="Times New Roman" w:cs="Arial"/>
                <w:sz w:val="20"/>
                <w:szCs w:val="20"/>
              </w:rPr>
            </w:pPr>
            <w:r w:rsidRPr="00225669">
              <w:rPr>
                <w:rFonts w:eastAsia="Times New Roman" w:cs="Arial"/>
                <w:b/>
                <w:bCs/>
                <w:sz w:val="20"/>
                <w:szCs w:val="20"/>
              </w:rPr>
              <w:t>Millennium Development Goals:</w:t>
            </w:r>
            <w:r w:rsidRPr="00225669">
              <w:rPr>
                <w:rFonts w:eastAsia="Times New Roman" w:cs="Arial"/>
                <w:sz w:val="20"/>
                <w:szCs w:val="20"/>
              </w:rPr>
              <w:t xml:space="preserve"> Office of the Special Adviser to the President on Millennium Development Goals has funded a number of projects in the Niger Delta region.</w:t>
            </w:r>
          </w:p>
          <w:p w14:paraId="3D46589D" w14:textId="2ED2138F" w:rsidR="00543C17" w:rsidRPr="00225669" w:rsidRDefault="00543C17" w:rsidP="00543C17">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11</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4EC2488A"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0.0975 trillion</w:t>
            </w:r>
            <w:r w:rsidRPr="00225669">
              <w:rPr>
                <w:rStyle w:val="FootnoteReference"/>
                <w:rFonts w:eastAsia="Times New Roman" w:cs="Arial"/>
                <w:b/>
                <w:sz w:val="20"/>
                <w:szCs w:val="20"/>
              </w:rPr>
              <w:footnoteReference w:id="36"/>
            </w:r>
          </w:p>
        </w:tc>
        <w:tc>
          <w:tcPr>
            <w:tcW w:w="2693" w:type="dxa"/>
            <w:hideMark/>
          </w:tcPr>
          <w:p w14:paraId="0E65B73E"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Targeted at the fulfilment of the Millennium Development Goals</w:t>
            </w:r>
          </w:p>
        </w:tc>
        <w:tc>
          <w:tcPr>
            <w:tcW w:w="2268" w:type="dxa"/>
            <w:hideMark/>
          </w:tcPr>
          <w:p w14:paraId="6F338895"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Citizens and residents of Nigeria</w:t>
            </w:r>
          </w:p>
        </w:tc>
        <w:tc>
          <w:tcPr>
            <w:tcW w:w="2693" w:type="dxa"/>
            <w:hideMark/>
          </w:tcPr>
          <w:p w14:paraId="270BABC6"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Conditional Grant Scheme Office (under the Office of the Special Adviser to the President on Millennium Development Goals)</w:t>
            </w:r>
          </w:p>
        </w:tc>
        <w:tc>
          <w:tcPr>
            <w:tcW w:w="1608" w:type="dxa"/>
            <w:noWrap/>
            <w:hideMark/>
          </w:tcPr>
          <w:p w14:paraId="05C99749"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All areas</w:t>
            </w:r>
          </w:p>
        </w:tc>
      </w:tr>
      <w:tr w:rsidR="007B44BE" w:rsidRPr="00225669" w14:paraId="75BDC5B6" w14:textId="77777777" w:rsidTr="00DF238D">
        <w:trPr>
          <w:trHeight w:val="1346"/>
        </w:trPr>
        <w:tc>
          <w:tcPr>
            <w:tcW w:w="675" w:type="dxa"/>
            <w:noWrap/>
            <w:hideMark/>
          </w:tcPr>
          <w:p w14:paraId="7E44E83A"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10</w:t>
            </w:r>
          </w:p>
        </w:tc>
        <w:tc>
          <w:tcPr>
            <w:tcW w:w="3544" w:type="dxa"/>
            <w:hideMark/>
          </w:tcPr>
          <w:p w14:paraId="4C4522E0" w14:textId="77777777" w:rsidR="007B44BE" w:rsidRDefault="007B44BE" w:rsidP="00137DFE">
            <w:pPr>
              <w:jc w:val="both"/>
              <w:rPr>
                <w:rFonts w:eastAsia="Times New Roman" w:cs="Arial"/>
                <w:sz w:val="20"/>
                <w:szCs w:val="20"/>
              </w:rPr>
            </w:pPr>
            <w:r w:rsidRPr="00225669">
              <w:rPr>
                <w:rFonts w:eastAsia="Times New Roman" w:cs="Arial"/>
                <w:b/>
                <w:bCs/>
                <w:sz w:val="20"/>
                <w:szCs w:val="20"/>
              </w:rPr>
              <w:t>Ecological Fund:</w:t>
            </w:r>
            <w:r w:rsidRPr="00225669">
              <w:rPr>
                <w:rFonts w:eastAsia="Times New Roman" w:cs="Arial"/>
                <w:sz w:val="20"/>
                <w:szCs w:val="20"/>
              </w:rPr>
              <w:t xml:space="preserve"> Ecological Fund is an Intervention Fund established by the FGN to address serious ecological problems facing the nation holistically and in a consistent manner.</w:t>
            </w:r>
          </w:p>
          <w:p w14:paraId="348DF6F3" w14:textId="5C2D254E" w:rsidR="00543C17" w:rsidRPr="00225669" w:rsidRDefault="00543C17" w:rsidP="00543C17">
            <w:pPr>
              <w:jc w:val="both"/>
              <w:rPr>
                <w:rFonts w:eastAsia="Times New Roman" w:cs="Arial"/>
                <w:sz w:val="20"/>
                <w:szCs w:val="20"/>
              </w:rPr>
            </w:pPr>
            <w:r>
              <w:rPr>
                <w:rFonts w:eastAsia="Times New Roman" w:cs="Arial"/>
                <w:sz w:val="20"/>
                <w:szCs w:val="20"/>
              </w:rPr>
              <w:t>(</w:t>
            </w:r>
            <w:r w:rsidRPr="007F7909">
              <w:rPr>
                <w:rFonts w:eastAsia="Times New Roman" w:cs="Arial"/>
                <w:i/>
                <w:sz w:val="20"/>
                <w:szCs w:val="20"/>
              </w:rPr>
              <w:t xml:space="preserve">See Table </w:t>
            </w:r>
            <w:r>
              <w:rPr>
                <w:rFonts w:eastAsia="Times New Roman" w:cs="Arial"/>
                <w:i/>
                <w:sz w:val="20"/>
                <w:szCs w:val="20"/>
              </w:rPr>
              <w:t>12</w:t>
            </w:r>
            <w:r w:rsidRPr="007F7909">
              <w:rPr>
                <w:rFonts w:eastAsia="Times New Roman" w:cs="Arial"/>
                <w:i/>
                <w:sz w:val="20"/>
                <w:szCs w:val="20"/>
              </w:rPr>
              <w:t xml:space="preserve"> in Annexes</w:t>
            </w:r>
            <w:r>
              <w:rPr>
                <w:rFonts w:eastAsia="Times New Roman" w:cs="Arial"/>
                <w:sz w:val="20"/>
                <w:szCs w:val="20"/>
              </w:rPr>
              <w:t>)</w:t>
            </w:r>
          </w:p>
        </w:tc>
        <w:tc>
          <w:tcPr>
            <w:tcW w:w="1276" w:type="dxa"/>
            <w:noWrap/>
            <w:hideMark/>
          </w:tcPr>
          <w:p w14:paraId="4547A81C" w14:textId="77777777" w:rsidR="007B44BE" w:rsidRPr="00225669" w:rsidRDefault="007B44BE" w:rsidP="00137DFE">
            <w:pPr>
              <w:jc w:val="both"/>
              <w:rPr>
                <w:rFonts w:eastAsia="Times New Roman" w:cs="Arial"/>
                <w:b/>
                <w:sz w:val="20"/>
                <w:szCs w:val="20"/>
              </w:rPr>
            </w:pPr>
            <w:r w:rsidRPr="00225669">
              <w:rPr>
                <w:rFonts w:cs="Arial"/>
                <w:b/>
                <w:dstrike/>
                <w:sz w:val="20"/>
                <w:szCs w:val="20"/>
              </w:rPr>
              <w:t>N</w:t>
            </w:r>
            <w:r w:rsidRPr="00225669">
              <w:rPr>
                <w:rFonts w:eastAsia="Times New Roman" w:cs="Arial"/>
                <w:b/>
                <w:sz w:val="20"/>
                <w:szCs w:val="20"/>
              </w:rPr>
              <w:t>0.0475 trillion</w:t>
            </w:r>
          </w:p>
        </w:tc>
        <w:tc>
          <w:tcPr>
            <w:tcW w:w="2693" w:type="dxa"/>
            <w:hideMark/>
          </w:tcPr>
          <w:p w14:paraId="69092039" w14:textId="77777777" w:rsidR="007B44BE" w:rsidRPr="00225669" w:rsidRDefault="007B44BE" w:rsidP="00137DFE">
            <w:pPr>
              <w:spacing w:after="240"/>
              <w:jc w:val="both"/>
              <w:rPr>
                <w:rFonts w:eastAsia="Times New Roman" w:cs="Arial"/>
                <w:sz w:val="20"/>
                <w:szCs w:val="20"/>
              </w:rPr>
            </w:pPr>
            <w:r w:rsidRPr="00225669">
              <w:rPr>
                <w:rFonts w:eastAsia="Times New Roman" w:cs="Arial"/>
                <w:sz w:val="20"/>
                <w:szCs w:val="20"/>
              </w:rPr>
              <w:t>Intervention fund to address ecological problems (erosion, flood, drought, desertification, oil spillage, pollution, storm, bush fire, crop pest, landslide, etc.</w:t>
            </w:r>
          </w:p>
        </w:tc>
        <w:tc>
          <w:tcPr>
            <w:tcW w:w="2268" w:type="dxa"/>
            <w:hideMark/>
          </w:tcPr>
          <w:p w14:paraId="1E2613AF"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National Emergency Management Agency (NEMA)</w:t>
            </w:r>
          </w:p>
          <w:p w14:paraId="35CDE669"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National Committee on Ecological Problems</w:t>
            </w:r>
          </w:p>
          <w:p w14:paraId="370D08B6"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State Governments (on the approval of the President)</w:t>
            </w:r>
          </w:p>
        </w:tc>
        <w:tc>
          <w:tcPr>
            <w:tcW w:w="2693" w:type="dxa"/>
            <w:hideMark/>
          </w:tcPr>
          <w:p w14:paraId="0A13FB4C"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Ecological Fund Office (Office of the Secretary to the Government of Federation)</w:t>
            </w:r>
          </w:p>
        </w:tc>
        <w:tc>
          <w:tcPr>
            <w:tcW w:w="1608" w:type="dxa"/>
            <w:noWrap/>
            <w:hideMark/>
          </w:tcPr>
          <w:p w14:paraId="3B9C4988"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Environmental remediation</w:t>
            </w:r>
          </w:p>
        </w:tc>
      </w:tr>
      <w:tr w:rsidR="007B44BE" w:rsidRPr="00225669" w14:paraId="35BA7CEE" w14:textId="77777777" w:rsidTr="00DF238D">
        <w:trPr>
          <w:trHeight w:val="62"/>
        </w:trPr>
        <w:tc>
          <w:tcPr>
            <w:tcW w:w="675" w:type="dxa"/>
            <w:noWrap/>
          </w:tcPr>
          <w:p w14:paraId="0C56D91F" w14:textId="77777777" w:rsidR="007B44BE" w:rsidRPr="00225669" w:rsidRDefault="007B44BE" w:rsidP="00DF238D">
            <w:pPr>
              <w:jc w:val="center"/>
              <w:rPr>
                <w:rFonts w:eastAsia="Times New Roman" w:cs="Arial"/>
                <w:sz w:val="20"/>
                <w:szCs w:val="20"/>
              </w:rPr>
            </w:pPr>
            <w:r w:rsidRPr="00225669">
              <w:rPr>
                <w:rFonts w:eastAsia="Times New Roman" w:cs="Arial"/>
                <w:sz w:val="20"/>
                <w:szCs w:val="20"/>
              </w:rPr>
              <w:t>11</w:t>
            </w:r>
          </w:p>
        </w:tc>
        <w:tc>
          <w:tcPr>
            <w:tcW w:w="3544" w:type="dxa"/>
            <w:noWrap/>
            <w:vAlign w:val="center"/>
          </w:tcPr>
          <w:p w14:paraId="7AD4336E" w14:textId="77777777" w:rsidR="007B44BE" w:rsidRPr="00225669" w:rsidRDefault="007B44BE" w:rsidP="00137DFE">
            <w:pPr>
              <w:jc w:val="both"/>
              <w:rPr>
                <w:rFonts w:eastAsia="Times New Roman" w:cs="Arial"/>
                <w:bCs/>
                <w:sz w:val="20"/>
                <w:szCs w:val="20"/>
              </w:rPr>
            </w:pPr>
            <w:r w:rsidRPr="00225669">
              <w:rPr>
                <w:rFonts w:eastAsia="Times New Roman" w:cs="Arial"/>
                <w:b/>
                <w:bCs/>
                <w:sz w:val="20"/>
                <w:szCs w:val="20"/>
              </w:rPr>
              <w:t xml:space="preserve">NNPC Security Pipeline Contracts &amp; Global West Vessel Specialists Limited (GWVSL): </w:t>
            </w:r>
            <w:r w:rsidRPr="00225669">
              <w:rPr>
                <w:rFonts w:eastAsia="Times New Roman" w:cs="Arial"/>
                <w:color w:val="000000"/>
                <w:sz w:val="20"/>
                <w:szCs w:val="20"/>
              </w:rPr>
              <w:t>In 2012, NNPC was reported to have awarded a total of about US$38.6 million (</w:t>
            </w:r>
            <w:r w:rsidRPr="00225669">
              <w:rPr>
                <w:rFonts w:cs="Arial"/>
                <w:dstrike/>
                <w:sz w:val="20"/>
                <w:szCs w:val="20"/>
              </w:rPr>
              <w:t>N</w:t>
            </w:r>
            <w:r w:rsidRPr="00225669">
              <w:rPr>
                <w:rFonts w:eastAsia="Times New Roman" w:cs="Arial"/>
                <w:sz w:val="20"/>
                <w:szCs w:val="20"/>
              </w:rPr>
              <w:t>0.023 trillion</w:t>
            </w:r>
            <w:r w:rsidRPr="00225669">
              <w:rPr>
                <w:rStyle w:val="FootnoteReference"/>
                <w:rFonts w:eastAsia="Times New Roman" w:cs="Arial"/>
                <w:sz w:val="20"/>
                <w:szCs w:val="20"/>
              </w:rPr>
              <w:footnoteReference w:id="37"/>
            </w:r>
            <w:r w:rsidRPr="00225669">
              <w:rPr>
                <w:rFonts w:eastAsia="Times New Roman" w:cs="Arial"/>
                <w:sz w:val="20"/>
                <w:szCs w:val="20"/>
              </w:rPr>
              <w:t>)</w:t>
            </w:r>
            <w:r w:rsidRPr="00225669">
              <w:rPr>
                <w:rFonts w:eastAsia="Times New Roman" w:cs="Arial"/>
                <w:color w:val="000000"/>
                <w:sz w:val="20"/>
                <w:szCs w:val="20"/>
              </w:rPr>
              <w:t xml:space="preserve"> annually to some ex-militant leaders as pipeline security contracts.</w:t>
            </w:r>
            <w:r w:rsidRPr="00225669">
              <w:rPr>
                <w:rStyle w:val="FootnoteReference"/>
                <w:rFonts w:eastAsia="Times New Roman" w:cs="Arial"/>
                <w:color w:val="000000"/>
                <w:sz w:val="20"/>
                <w:szCs w:val="20"/>
              </w:rPr>
              <w:footnoteReference w:id="38"/>
            </w:r>
            <w:r w:rsidRPr="00225669">
              <w:rPr>
                <w:rFonts w:eastAsia="Times New Roman" w:cs="Arial"/>
                <w:color w:val="000000"/>
                <w:sz w:val="20"/>
                <w:szCs w:val="20"/>
              </w:rPr>
              <w:t xml:space="preserve"> (Tompolo- US$22 million, Asari Dokubo- US$9 million, Tom Ateke- US$3.8 million, Boyloaf- US$3.8 million). Also in 2012, Nigerian Maritime Administration and Safety Agency (NIMASA) awarded US$103 million (</w:t>
            </w:r>
            <w:r w:rsidRPr="00225669">
              <w:rPr>
                <w:rFonts w:cs="Arial"/>
                <w:dstrike/>
                <w:sz w:val="20"/>
                <w:szCs w:val="20"/>
              </w:rPr>
              <w:t>N</w:t>
            </w:r>
            <w:r w:rsidRPr="00225669">
              <w:rPr>
                <w:rFonts w:eastAsia="Times New Roman" w:cs="Arial"/>
                <w:sz w:val="20"/>
                <w:szCs w:val="20"/>
              </w:rPr>
              <w:t>16.8 billion) to GWVSL to procure 20 vessels and gather intelligence for fighting maritime crime</w:t>
            </w:r>
            <w:r w:rsidRPr="00225669">
              <w:rPr>
                <w:rStyle w:val="FootnoteReference"/>
                <w:rFonts w:eastAsia="Times New Roman" w:cs="Arial"/>
                <w:sz w:val="20"/>
                <w:szCs w:val="20"/>
              </w:rPr>
              <w:footnoteReference w:id="39"/>
            </w:r>
          </w:p>
        </w:tc>
        <w:tc>
          <w:tcPr>
            <w:tcW w:w="1276" w:type="dxa"/>
            <w:noWrap/>
          </w:tcPr>
          <w:p w14:paraId="39C5F381" w14:textId="77777777" w:rsidR="007B44BE" w:rsidRPr="00225669" w:rsidRDefault="007B44BE" w:rsidP="00137DFE">
            <w:pPr>
              <w:jc w:val="both"/>
              <w:rPr>
                <w:rFonts w:cs="Arial"/>
                <w:dstrike/>
                <w:sz w:val="20"/>
                <w:szCs w:val="20"/>
              </w:rPr>
            </w:pPr>
            <w:r w:rsidRPr="00225669">
              <w:rPr>
                <w:rFonts w:cs="Arial"/>
                <w:b/>
                <w:dstrike/>
                <w:sz w:val="20"/>
                <w:szCs w:val="20"/>
              </w:rPr>
              <w:t>N</w:t>
            </w:r>
            <w:r w:rsidRPr="00225669">
              <w:rPr>
                <w:rFonts w:eastAsia="Times New Roman" w:cs="Arial"/>
                <w:b/>
                <w:sz w:val="20"/>
                <w:szCs w:val="20"/>
              </w:rPr>
              <w:t>0.0398 trillion</w:t>
            </w:r>
          </w:p>
        </w:tc>
        <w:tc>
          <w:tcPr>
            <w:tcW w:w="2693" w:type="dxa"/>
            <w:noWrap/>
          </w:tcPr>
          <w:p w14:paraId="7A1B6F1B"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Security of NNPC pipelines in the region</w:t>
            </w:r>
          </w:p>
          <w:p w14:paraId="09825772"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Procurement of 20 vessels and gather intelligence for fighting maritime crime</w:t>
            </w:r>
          </w:p>
        </w:tc>
        <w:tc>
          <w:tcPr>
            <w:tcW w:w="2268" w:type="dxa"/>
            <w:noWrap/>
          </w:tcPr>
          <w:p w14:paraId="686174F9"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Federal Government (NNPC)</w:t>
            </w:r>
          </w:p>
          <w:p w14:paraId="7DD15603"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 xml:space="preserve">Community </w:t>
            </w:r>
          </w:p>
        </w:tc>
        <w:tc>
          <w:tcPr>
            <w:tcW w:w="2693" w:type="dxa"/>
            <w:noWrap/>
          </w:tcPr>
          <w:p w14:paraId="62DD9DF5"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NNPC</w:t>
            </w:r>
          </w:p>
          <w:p w14:paraId="6B01BD5B"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NIMASA</w:t>
            </w:r>
          </w:p>
        </w:tc>
        <w:tc>
          <w:tcPr>
            <w:tcW w:w="1608" w:type="dxa"/>
            <w:noWrap/>
          </w:tcPr>
          <w:p w14:paraId="3CCA47D7"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Pipeline security</w:t>
            </w:r>
          </w:p>
          <w:p w14:paraId="3732DFA5" w14:textId="77777777" w:rsidR="007B44BE" w:rsidRPr="00225669" w:rsidRDefault="007B44BE" w:rsidP="00AF131C">
            <w:pPr>
              <w:pStyle w:val="ListParagraph"/>
              <w:numPr>
                <w:ilvl w:val="0"/>
                <w:numId w:val="27"/>
              </w:numPr>
              <w:ind w:left="175" w:hanging="175"/>
              <w:jc w:val="both"/>
              <w:rPr>
                <w:rFonts w:eastAsia="Times New Roman" w:cs="Arial"/>
                <w:sz w:val="20"/>
                <w:szCs w:val="20"/>
              </w:rPr>
            </w:pPr>
            <w:r w:rsidRPr="00225669">
              <w:rPr>
                <w:rFonts w:eastAsia="Times New Roman" w:cs="Arial"/>
                <w:sz w:val="20"/>
                <w:szCs w:val="20"/>
              </w:rPr>
              <w:t>Maritime security</w:t>
            </w:r>
          </w:p>
        </w:tc>
      </w:tr>
      <w:tr w:rsidR="007B44BE" w:rsidRPr="00225669" w14:paraId="79222450" w14:textId="77777777" w:rsidTr="00DF238D">
        <w:trPr>
          <w:trHeight w:val="228"/>
        </w:trPr>
        <w:tc>
          <w:tcPr>
            <w:tcW w:w="675" w:type="dxa"/>
            <w:noWrap/>
            <w:hideMark/>
          </w:tcPr>
          <w:p w14:paraId="4E5794F2" w14:textId="14057D83" w:rsidR="007B44BE" w:rsidRPr="00225669" w:rsidRDefault="007B44BE" w:rsidP="00DF238D">
            <w:pPr>
              <w:jc w:val="center"/>
              <w:rPr>
                <w:rFonts w:eastAsia="Times New Roman" w:cs="Arial"/>
                <w:sz w:val="20"/>
                <w:szCs w:val="20"/>
              </w:rPr>
            </w:pPr>
          </w:p>
        </w:tc>
        <w:tc>
          <w:tcPr>
            <w:tcW w:w="3544" w:type="dxa"/>
            <w:noWrap/>
            <w:vAlign w:val="center"/>
            <w:hideMark/>
          </w:tcPr>
          <w:p w14:paraId="10F9E3A1" w14:textId="77777777" w:rsidR="007B44BE" w:rsidRPr="00225669" w:rsidRDefault="007B44BE" w:rsidP="00137DFE">
            <w:pPr>
              <w:jc w:val="both"/>
              <w:rPr>
                <w:rFonts w:eastAsia="Times New Roman" w:cs="Arial"/>
                <w:b/>
                <w:bCs/>
                <w:sz w:val="20"/>
                <w:szCs w:val="20"/>
              </w:rPr>
            </w:pPr>
            <w:r w:rsidRPr="00225669">
              <w:rPr>
                <w:rFonts w:eastAsia="Times New Roman" w:cs="Arial"/>
                <w:b/>
                <w:bCs/>
                <w:sz w:val="20"/>
                <w:szCs w:val="20"/>
              </w:rPr>
              <w:t>Total (2010-2014)</w:t>
            </w:r>
          </w:p>
        </w:tc>
        <w:tc>
          <w:tcPr>
            <w:tcW w:w="1276" w:type="dxa"/>
            <w:noWrap/>
            <w:vAlign w:val="center"/>
            <w:hideMark/>
          </w:tcPr>
          <w:p w14:paraId="5D9E578D" w14:textId="77777777" w:rsidR="007B44BE" w:rsidRPr="00225669" w:rsidRDefault="007B44BE" w:rsidP="00137DFE">
            <w:pPr>
              <w:jc w:val="both"/>
              <w:rPr>
                <w:rFonts w:eastAsia="Times New Roman" w:cs="Arial"/>
                <w:b/>
                <w:bCs/>
                <w:sz w:val="20"/>
                <w:szCs w:val="20"/>
              </w:rPr>
            </w:pPr>
            <w:r w:rsidRPr="00225669">
              <w:rPr>
                <w:rFonts w:cs="Arial"/>
                <w:dstrike/>
                <w:sz w:val="20"/>
                <w:szCs w:val="20"/>
              </w:rPr>
              <w:t>N</w:t>
            </w:r>
            <w:r w:rsidRPr="00225669">
              <w:rPr>
                <w:rFonts w:eastAsia="Times New Roman" w:cs="Arial"/>
                <w:b/>
                <w:bCs/>
                <w:sz w:val="20"/>
                <w:szCs w:val="20"/>
              </w:rPr>
              <w:t>7.35 trillion</w:t>
            </w:r>
            <w:r w:rsidRPr="00225669">
              <w:rPr>
                <w:rStyle w:val="FootnoteReference"/>
                <w:rFonts w:eastAsia="Times New Roman" w:cs="Arial"/>
                <w:b/>
                <w:sz w:val="20"/>
                <w:szCs w:val="20"/>
              </w:rPr>
              <w:footnoteReference w:id="40"/>
            </w:r>
          </w:p>
        </w:tc>
        <w:tc>
          <w:tcPr>
            <w:tcW w:w="2693" w:type="dxa"/>
            <w:noWrap/>
            <w:hideMark/>
          </w:tcPr>
          <w:p w14:paraId="1E91A1AE" w14:textId="77777777" w:rsidR="007B44BE" w:rsidRPr="00225669" w:rsidRDefault="007B44BE" w:rsidP="00137DFE">
            <w:pPr>
              <w:jc w:val="both"/>
              <w:rPr>
                <w:rFonts w:eastAsia="Times New Roman" w:cs="Arial"/>
                <w:sz w:val="20"/>
                <w:szCs w:val="20"/>
              </w:rPr>
            </w:pPr>
          </w:p>
          <w:p w14:paraId="53F44170"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 </w:t>
            </w:r>
          </w:p>
        </w:tc>
        <w:tc>
          <w:tcPr>
            <w:tcW w:w="2268" w:type="dxa"/>
            <w:noWrap/>
            <w:hideMark/>
          </w:tcPr>
          <w:p w14:paraId="5C7F4C7D"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 </w:t>
            </w:r>
          </w:p>
        </w:tc>
        <w:tc>
          <w:tcPr>
            <w:tcW w:w="2693" w:type="dxa"/>
            <w:noWrap/>
            <w:hideMark/>
          </w:tcPr>
          <w:p w14:paraId="1AA63958"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 </w:t>
            </w:r>
          </w:p>
        </w:tc>
        <w:tc>
          <w:tcPr>
            <w:tcW w:w="1608" w:type="dxa"/>
            <w:noWrap/>
            <w:hideMark/>
          </w:tcPr>
          <w:p w14:paraId="75F2A7F4" w14:textId="77777777" w:rsidR="007B44BE" w:rsidRPr="00225669" w:rsidRDefault="007B44BE" w:rsidP="00137DFE">
            <w:pPr>
              <w:jc w:val="both"/>
              <w:rPr>
                <w:rFonts w:eastAsia="Times New Roman" w:cs="Arial"/>
                <w:sz w:val="20"/>
                <w:szCs w:val="20"/>
              </w:rPr>
            </w:pPr>
            <w:r w:rsidRPr="00225669">
              <w:rPr>
                <w:rFonts w:eastAsia="Times New Roman" w:cs="Arial"/>
                <w:sz w:val="20"/>
                <w:szCs w:val="20"/>
              </w:rPr>
              <w:t> </w:t>
            </w:r>
          </w:p>
        </w:tc>
      </w:tr>
    </w:tbl>
    <w:p w14:paraId="4C9C502A" w14:textId="77777777" w:rsidR="00A749AD" w:rsidRPr="00225669" w:rsidRDefault="00A749AD" w:rsidP="00EB2031">
      <w:pPr>
        <w:pStyle w:val="TableList"/>
        <w:numPr>
          <w:ilvl w:val="0"/>
          <w:numId w:val="0"/>
        </w:numPr>
      </w:pPr>
    </w:p>
    <w:p w14:paraId="2611AE2C" w14:textId="77777777" w:rsidR="008A31E9" w:rsidRPr="00225669" w:rsidRDefault="00711137" w:rsidP="00EB2031">
      <w:pPr>
        <w:pStyle w:val="TableList"/>
        <w:numPr>
          <w:ilvl w:val="0"/>
          <w:numId w:val="0"/>
        </w:numPr>
        <w:ind w:left="360"/>
        <w:sectPr w:rsidR="008A31E9" w:rsidRPr="00225669" w:rsidSect="00711137">
          <w:pgSz w:w="16840" w:h="11900" w:orient="landscape"/>
          <w:pgMar w:top="1134" w:right="1418" w:bottom="1134" w:left="1134" w:header="709" w:footer="709" w:gutter="0"/>
          <w:cols w:space="708"/>
          <w:titlePg/>
          <w:docGrid w:linePitch="360"/>
        </w:sectPr>
      </w:pPr>
      <w:r w:rsidRPr="00225669">
        <w:br w:type="page"/>
      </w:r>
    </w:p>
    <w:p w14:paraId="512765B2" w14:textId="6591FA32" w:rsidR="003074FC" w:rsidRPr="00225669" w:rsidRDefault="003074FC" w:rsidP="00DF238D">
      <w:pPr>
        <w:pStyle w:val="Heading2"/>
        <w:rPr>
          <w:rFonts w:ascii="Arial" w:hAnsi="Arial" w:cs="Arial"/>
        </w:rPr>
      </w:pPr>
      <w:bookmarkStart w:id="29" w:name="_Toc311709501"/>
      <w:r w:rsidRPr="00225669">
        <w:rPr>
          <w:rFonts w:ascii="Arial" w:hAnsi="Arial" w:cs="Arial"/>
        </w:rPr>
        <w:t xml:space="preserve">Governance Challenges with </w:t>
      </w:r>
      <w:r w:rsidR="0013108C" w:rsidRPr="00225669">
        <w:rPr>
          <w:rFonts w:ascii="Arial" w:hAnsi="Arial" w:cs="Arial"/>
        </w:rPr>
        <w:t xml:space="preserve">Fund </w:t>
      </w:r>
      <w:r w:rsidRPr="00225669">
        <w:rPr>
          <w:rFonts w:ascii="Arial" w:hAnsi="Arial" w:cs="Arial"/>
        </w:rPr>
        <w:t>Manag</w:t>
      </w:r>
      <w:r w:rsidR="0013108C" w:rsidRPr="00225669">
        <w:rPr>
          <w:rFonts w:ascii="Arial" w:hAnsi="Arial" w:cs="Arial"/>
        </w:rPr>
        <w:t>ement</w:t>
      </w:r>
      <w:bookmarkEnd w:id="29"/>
      <w:r w:rsidR="0013108C" w:rsidRPr="00225669" w:rsidDel="0013108C">
        <w:rPr>
          <w:rFonts w:ascii="Arial" w:hAnsi="Arial" w:cs="Arial"/>
        </w:rPr>
        <w:t xml:space="preserve"> </w:t>
      </w:r>
    </w:p>
    <w:p w14:paraId="5AEE253E" w14:textId="658967E6" w:rsidR="00B1761F" w:rsidRPr="00185A4C" w:rsidRDefault="00B1761F" w:rsidP="00137DFE">
      <w:pPr>
        <w:shd w:val="clear" w:color="auto" w:fill="FFFFFF"/>
        <w:spacing w:line="196" w:lineRule="atLeast"/>
        <w:jc w:val="both"/>
        <w:rPr>
          <w:rFonts w:eastAsia="Times New Roman" w:cs="Arial"/>
          <w:sz w:val="18"/>
          <w:szCs w:val="18"/>
        </w:rPr>
      </w:pPr>
      <w:r w:rsidRPr="00185A4C">
        <w:rPr>
          <w:rFonts w:eastAsia="Times New Roman" w:cs="Arial"/>
        </w:rPr>
        <w:t>Poor governance structures and processes are the major challenge with managing the funds allocated to the Niger Delta region.</w:t>
      </w:r>
    </w:p>
    <w:p w14:paraId="7D17AF82" w14:textId="77777777" w:rsidR="00B1761F" w:rsidRPr="00225669" w:rsidRDefault="00B1761F" w:rsidP="00137DFE">
      <w:pPr>
        <w:shd w:val="clear" w:color="auto" w:fill="FFFFFF"/>
        <w:spacing w:line="196" w:lineRule="atLeast"/>
        <w:jc w:val="both"/>
        <w:rPr>
          <w:rFonts w:eastAsia="Times New Roman" w:cs="Arial"/>
          <w:color w:val="002060"/>
        </w:rPr>
      </w:pPr>
    </w:p>
    <w:p w14:paraId="10B51553" w14:textId="34402C09" w:rsidR="00B1761F" w:rsidRPr="00185A4C" w:rsidRDefault="00B1761F" w:rsidP="00137DFE">
      <w:pPr>
        <w:shd w:val="clear" w:color="auto" w:fill="FFFFFF"/>
        <w:spacing w:line="196" w:lineRule="atLeast"/>
        <w:jc w:val="both"/>
        <w:rPr>
          <w:rFonts w:eastAsia="Times New Roman" w:cs="Arial"/>
          <w:sz w:val="18"/>
          <w:szCs w:val="18"/>
        </w:rPr>
      </w:pPr>
      <w:r w:rsidRPr="00225669">
        <w:rPr>
          <w:rFonts w:cs="Arial"/>
          <w:color w:val="31849B" w:themeColor="accent5" w:themeShade="BF"/>
        </w:rPr>
        <w:t>There is a general lack of transparency and accountability in the processes for managing the funds allocated to the region.</w:t>
      </w:r>
      <w:r w:rsidRPr="00225669">
        <w:rPr>
          <w:rFonts w:eastAsia="Times New Roman" w:cs="Arial"/>
          <w:color w:val="002060"/>
        </w:rPr>
        <w:t xml:space="preserve"> </w:t>
      </w:r>
      <w:r w:rsidRPr="00185A4C">
        <w:rPr>
          <w:rFonts w:eastAsia="Times New Roman" w:cs="Arial"/>
        </w:rPr>
        <w:t xml:space="preserve">This is reinforced by opaque governance systems for funds management. For instance, the newly appointed Auditor General of the Federation Samuel Ukura </w:t>
      </w:r>
      <w:r w:rsidR="00951077" w:rsidRPr="00185A4C">
        <w:rPr>
          <w:rFonts w:eastAsia="Times New Roman" w:cs="Arial"/>
        </w:rPr>
        <w:t>stated that</w:t>
      </w:r>
      <w:r w:rsidRPr="00185A4C">
        <w:rPr>
          <w:rFonts w:eastAsia="Times New Roman" w:cs="Arial"/>
        </w:rPr>
        <w:t xml:space="preserve"> the Niger Delta Development Commission (NDDC) divert</w:t>
      </w:r>
      <w:r w:rsidR="00951077" w:rsidRPr="00185A4C">
        <w:rPr>
          <w:rFonts w:eastAsia="Times New Roman" w:cs="Arial"/>
        </w:rPr>
        <w:t>ed</w:t>
      </w:r>
      <w:r w:rsidRPr="00185A4C">
        <w:rPr>
          <w:rFonts w:eastAsia="Times New Roman" w:cs="Arial"/>
        </w:rPr>
        <w:t xml:space="preserve"> </w:t>
      </w:r>
      <w:r w:rsidRPr="00185A4C">
        <w:rPr>
          <w:rFonts w:eastAsia="Times New Roman" w:cs="Arial"/>
          <w:dstrike/>
        </w:rPr>
        <w:t>N</w:t>
      </w:r>
      <w:r w:rsidRPr="00185A4C">
        <w:rPr>
          <w:rFonts w:eastAsia="Times New Roman" w:cs="Arial"/>
        </w:rPr>
        <w:t>183 billion meant for the development of the region. The Executive Director, Finance and Administration of NDDC, however, denied such claims</w:t>
      </w:r>
      <w:r w:rsidRPr="00185A4C">
        <w:rPr>
          <w:rStyle w:val="FootnoteReference"/>
          <w:rFonts w:eastAsia="Times New Roman" w:cs="Arial"/>
        </w:rPr>
        <w:footnoteReference w:id="41"/>
      </w:r>
      <w:r w:rsidRPr="00185A4C">
        <w:rPr>
          <w:rFonts w:eastAsia="Times New Roman" w:cs="Arial"/>
        </w:rPr>
        <w:t>. Th</w:t>
      </w:r>
      <w:r w:rsidR="00951077" w:rsidRPr="00185A4C">
        <w:rPr>
          <w:rFonts w:eastAsia="Times New Roman" w:cs="Arial"/>
        </w:rPr>
        <w:t>e</w:t>
      </w:r>
      <w:r w:rsidRPr="00185A4C">
        <w:rPr>
          <w:rFonts w:eastAsia="Times New Roman" w:cs="Arial"/>
        </w:rPr>
        <w:t xml:space="preserve"> arguments surrounding </w:t>
      </w:r>
      <w:r w:rsidR="00951077" w:rsidRPr="00185A4C">
        <w:rPr>
          <w:rFonts w:eastAsia="Times New Roman" w:cs="Arial"/>
        </w:rPr>
        <w:t xml:space="preserve">the </w:t>
      </w:r>
      <w:r w:rsidRPr="00185A4C">
        <w:rPr>
          <w:rFonts w:eastAsia="Times New Roman" w:cs="Arial"/>
        </w:rPr>
        <w:t>missing or diverted funds is a clear case of poor accountability and transparency in the management of development funds by the Commission.</w:t>
      </w:r>
    </w:p>
    <w:p w14:paraId="0DFFD7D0" w14:textId="77777777" w:rsidR="00B1761F" w:rsidRPr="00225669" w:rsidRDefault="00B1761F" w:rsidP="00137DFE">
      <w:pPr>
        <w:shd w:val="clear" w:color="auto" w:fill="FFFFFF"/>
        <w:spacing w:line="196" w:lineRule="atLeast"/>
        <w:jc w:val="both"/>
        <w:rPr>
          <w:rFonts w:eastAsia="Times New Roman" w:cs="Arial"/>
          <w:color w:val="002060"/>
        </w:rPr>
      </w:pPr>
    </w:p>
    <w:p w14:paraId="158417B0" w14:textId="39CDD4F3" w:rsidR="00652330" w:rsidRPr="00185A4C" w:rsidRDefault="00B1761F" w:rsidP="00137DFE">
      <w:pPr>
        <w:shd w:val="clear" w:color="auto" w:fill="FFFFFF"/>
        <w:spacing w:line="196" w:lineRule="atLeast"/>
        <w:jc w:val="both"/>
        <w:rPr>
          <w:rFonts w:eastAsia="Times New Roman" w:cs="Arial"/>
        </w:rPr>
      </w:pPr>
      <w:r w:rsidRPr="00225669">
        <w:rPr>
          <w:rFonts w:cs="Arial"/>
          <w:color w:val="31849B" w:themeColor="accent5" w:themeShade="BF"/>
        </w:rPr>
        <w:t>A perennial problem with programming in the region is the lack of a coherent development plan shared by the various institutions and agencies involved in the development of the region.</w:t>
      </w:r>
      <w:r w:rsidRPr="00225669">
        <w:rPr>
          <w:rFonts w:eastAsia="Times New Roman" w:cs="Arial"/>
          <w:color w:val="002060"/>
        </w:rPr>
        <w:t xml:space="preserve"> </w:t>
      </w:r>
      <w:r w:rsidRPr="00185A4C">
        <w:rPr>
          <w:rFonts w:eastAsia="Times New Roman" w:cs="Arial"/>
        </w:rPr>
        <w:t>As a result, there is a lot of duplication of development projects in the region while some other projects are starved for resources. For instance, the National Bureau of Statistics report</w:t>
      </w:r>
      <w:r w:rsidR="00BF3594" w:rsidRPr="00185A4C">
        <w:rPr>
          <w:rFonts w:eastAsia="Times New Roman" w:cs="Arial"/>
        </w:rPr>
        <w:t>s</w:t>
      </w:r>
      <w:r w:rsidRPr="00185A4C">
        <w:rPr>
          <w:rFonts w:eastAsia="Times New Roman" w:cs="Arial"/>
        </w:rPr>
        <w:t xml:space="preserve"> on</w:t>
      </w:r>
      <w:r w:rsidR="00E5419E" w:rsidRPr="00185A4C">
        <w:rPr>
          <w:rFonts w:eastAsia="Times New Roman" w:cs="Arial"/>
        </w:rPr>
        <w:t xml:space="preserve"> the</w:t>
      </w:r>
      <w:r w:rsidRPr="00185A4C">
        <w:rPr>
          <w:rFonts w:eastAsia="Times New Roman" w:cs="Arial"/>
        </w:rPr>
        <w:t xml:space="preserve"> Medium-Term Implementation Plan (2010-2013) shows that both the NDDC and </w:t>
      </w:r>
      <w:r w:rsidR="00652330" w:rsidRPr="00185A4C">
        <w:rPr>
          <w:rFonts w:eastAsia="Times New Roman" w:cs="Arial"/>
        </w:rPr>
        <w:t>MNDA</w:t>
      </w:r>
      <w:r w:rsidRPr="00185A4C">
        <w:rPr>
          <w:rFonts w:eastAsia="Times New Roman" w:cs="Arial"/>
        </w:rPr>
        <w:t xml:space="preserve"> both have </w:t>
      </w:r>
      <w:r w:rsidR="00E5419E" w:rsidRPr="00185A4C">
        <w:rPr>
          <w:rFonts w:eastAsia="Times New Roman" w:cs="Arial"/>
        </w:rPr>
        <w:t xml:space="preserve">similar projects </w:t>
      </w:r>
      <w:r w:rsidRPr="00185A4C">
        <w:rPr>
          <w:rFonts w:eastAsia="Times New Roman" w:cs="Arial"/>
        </w:rPr>
        <w:t>in their high priority projects</w:t>
      </w:r>
      <w:r w:rsidR="00E5419E" w:rsidRPr="00185A4C">
        <w:rPr>
          <w:rFonts w:eastAsia="Times New Roman" w:cs="Arial"/>
        </w:rPr>
        <w:t>.</w:t>
      </w:r>
      <w:r w:rsidRPr="00185A4C">
        <w:rPr>
          <w:rStyle w:val="FootnoteReference"/>
          <w:rFonts w:eastAsia="Times New Roman" w:cs="Arial"/>
        </w:rPr>
        <w:footnoteReference w:id="42"/>
      </w:r>
      <w:r w:rsidRPr="00185A4C">
        <w:rPr>
          <w:rFonts w:eastAsia="Times New Roman" w:cs="Arial"/>
        </w:rPr>
        <w:t xml:space="preserve"> </w:t>
      </w:r>
      <w:r w:rsidR="00652330" w:rsidRPr="00185A4C">
        <w:rPr>
          <w:rFonts w:eastAsia="Times New Roman" w:cs="Arial"/>
        </w:rPr>
        <w:t>Similarly, a</w:t>
      </w:r>
      <w:r w:rsidR="00E5419E" w:rsidRPr="00185A4C">
        <w:rPr>
          <w:rFonts w:eastAsia="Times New Roman" w:cs="Arial"/>
        </w:rPr>
        <w:t xml:space="preserve"> report by the Nigeria Extractive Industry Transparency Initiative (</w:t>
      </w:r>
      <w:r w:rsidRPr="00185A4C">
        <w:rPr>
          <w:rFonts w:eastAsia="Times New Roman" w:cs="Arial"/>
        </w:rPr>
        <w:t>NEITI</w:t>
      </w:r>
      <w:r w:rsidR="00E5419E" w:rsidRPr="00185A4C">
        <w:rPr>
          <w:rFonts w:eastAsia="Times New Roman" w:cs="Arial"/>
        </w:rPr>
        <w:t xml:space="preserve">) </w:t>
      </w:r>
      <w:r w:rsidRPr="00185A4C">
        <w:rPr>
          <w:rFonts w:eastAsia="Times New Roman" w:cs="Arial"/>
        </w:rPr>
        <w:t xml:space="preserve">showed that 22 </w:t>
      </w:r>
      <w:r w:rsidR="00E5419E" w:rsidRPr="00185A4C">
        <w:rPr>
          <w:rFonts w:eastAsia="Times New Roman" w:cs="Arial"/>
        </w:rPr>
        <w:t xml:space="preserve">projects were duplicated on </w:t>
      </w:r>
      <w:r w:rsidRPr="00185A4C">
        <w:rPr>
          <w:rFonts w:eastAsia="Times New Roman" w:cs="Arial"/>
        </w:rPr>
        <w:t>NDDC</w:t>
      </w:r>
      <w:r w:rsidR="00652330" w:rsidRPr="00185A4C">
        <w:rPr>
          <w:rFonts w:eastAsia="Times New Roman" w:cs="Arial"/>
        </w:rPr>
        <w:t>’s</w:t>
      </w:r>
      <w:r w:rsidRPr="00185A4C">
        <w:rPr>
          <w:rFonts w:eastAsia="Times New Roman" w:cs="Arial"/>
        </w:rPr>
        <w:t xml:space="preserve"> projects schedule</w:t>
      </w:r>
      <w:r w:rsidR="00652330" w:rsidRPr="00185A4C">
        <w:rPr>
          <w:rFonts w:eastAsia="Times New Roman" w:cs="Arial"/>
        </w:rPr>
        <w:t xml:space="preserve"> resulting in a </w:t>
      </w:r>
      <w:r w:rsidR="00E5419E" w:rsidRPr="00185A4C">
        <w:rPr>
          <w:rFonts w:eastAsia="Times New Roman" w:cs="Arial"/>
        </w:rPr>
        <w:t xml:space="preserve">total </w:t>
      </w:r>
      <w:r w:rsidRPr="00185A4C">
        <w:rPr>
          <w:rFonts w:eastAsia="Times New Roman" w:cs="Arial"/>
        </w:rPr>
        <w:t xml:space="preserve">contract sum of </w:t>
      </w:r>
      <w:r w:rsidRPr="00185A4C">
        <w:rPr>
          <w:rFonts w:eastAsia="Times New Roman" w:cs="Arial"/>
          <w:dstrike/>
        </w:rPr>
        <w:t>N</w:t>
      </w:r>
      <w:r w:rsidRPr="00185A4C">
        <w:rPr>
          <w:rFonts w:eastAsia="Times New Roman" w:cs="Arial"/>
        </w:rPr>
        <w:t>1.18</w:t>
      </w:r>
      <w:r w:rsidR="00E5419E" w:rsidRPr="00185A4C">
        <w:rPr>
          <w:rFonts w:eastAsia="Times New Roman" w:cs="Arial"/>
        </w:rPr>
        <w:t xml:space="preserve"> </w:t>
      </w:r>
      <w:r w:rsidRPr="00185A4C">
        <w:rPr>
          <w:rFonts w:eastAsia="Times New Roman" w:cs="Arial"/>
        </w:rPr>
        <w:t>billion</w:t>
      </w:r>
      <w:r w:rsidR="00652330" w:rsidRPr="00185A4C">
        <w:rPr>
          <w:rFonts w:eastAsia="Times New Roman" w:cs="Arial"/>
        </w:rPr>
        <w:t>.</w:t>
      </w:r>
      <w:r w:rsidR="00652330" w:rsidRPr="00185A4C">
        <w:rPr>
          <w:rStyle w:val="FootnoteReference"/>
          <w:rFonts w:eastAsia="Times New Roman" w:cs="Arial"/>
        </w:rPr>
        <w:footnoteReference w:id="43"/>
      </w:r>
    </w:p>
    <w:p w14:paraId="13B7FB9B" w14:textId="77777777" w:rsidR="00B1761F" w:rsidRPr="00225669" w:rsidRDefault="00B1761F" w:rsidP="00137DFE">
      <w:pPr>
        <w:shd w:val="clear" w:color="auto" w:fill="FFFFFF"/>
        <w:spacing w:line="196" w:lineRule="atLeast"/>
        <w:jc w:val="both"/>
        <w:rPr>
          <w:rFonts w:eastAsia="Times New Roman" w:cs="Arial"/>
          <w:color w:val="002060"/>
          <w:sz w:val="18"/>
          <w:szCs w:val="18"/>
        </w:rPr>
      </w:pPr>
    </w:p>
    <w:p w14:paraId="143C221B" w14:textId="6E5021BD" w:rsidR="00B1761F" w:rsidRPr="00225669" w:rsidRDefault="00B1761F" w:rsidP="00137DFE">
      <w:pPr>
        <w:shd w:val="clear" w:color="auto" w:fill="FFFFFF"/>
        <w:spacing w:line="196" w:lineRule="atLeast"/>
        <w:jc w:val="both"/>
        <w:rPr>
          <w:rFonts w:eastAsia="Times New Roman" w:cs="Arial"/>
          <w:color w:val="002060"/>
        </w:rPr>
      </w:pPr>
      <w:r w:rsidRPr="00225669">
        <w:rPr>
          <w:rFonts w:cs="Arial"/>
          <w:color w:val="31849B" w:themeColor="accent5" w:themeShade="BF"/>
        </w:rPr>
        <w:t>There is poor participation of the community in programme design and implementation.</w:t>
      </w:r>
      <w:r w:rsidRPr="00225669">
        <w:rPr>
          <w:rFonts w:eastAsia="Times New Roman" w:cs="Arial"/>
          <w:color w:val="002060"/>
        </w:rPr>
        <w:t xml:space="preserve"> </w:t>
      </w:r>
      <w:r w:rsidR="00652330" w:rsidRPr="00185A4C">
        <w:rPr>
          <w:rFonts w:eastAsia="Times New Roman" w:cs="Arial"/>
        </w:rPr>
        <w:t>A</w:t>
      </w:r>
      <w:r w:rsidRPr="00185A4C">
        <w:rPr>
          <w:rFonts w:eastAsia="Times New Roman" w:cs="Arial"/>
        </w:rPr>
        <w:t xml:space="preserve"> study carried out </w:t>
      </w:r>
      <w:r w:rsidR="00652330" w:rsidRPr="00185A4C">
        <w:rPr>
          <w:rFonts w:eastAsia="Times New Roman" w:cs="Arial"/>
        </w:rPr>
        <w:t xml:space="preserve">in 2014 on NDDC development projects in </w:t>
      </w:r>
      <w:r w:rsidRPr="00185A4C">
        <w:rPr>
          <w:rFonts w:eastAsia="Times New Roman" w:cs="Arial"/>
        </w:rPr>
        <w:t>Abia sta</w:t>
      </w:r>
      <w:r w:rsidR="006E50E8" w:rsidRPr="00185A4C">
        <w:rPr>
          <w:rFonts w:eastAsia="Times New Roman" w:cs="Arial"/>
        </w:rPr>
        <w:t xml:space="preserve">te showed poor </w:t>
      </w:r>
      <w:r w:rsidRPr="00185A4C">
        <w:rPr>
          <w:rFonts w:eastAsia="Times New Roman" w:cs="Arial"/>
        </w:rPr>
        <w:t>involvement of the community members</w:t>
      </w:r>
      <w:r w:rsidR="006E50E8" w:rsidRPr="00185A4C">
        <w:rPr>
          <w:rFonts w:eastAsia="Times New Roman" w:cs="Arial"/>
        </w:rPr>
        <w:t xml:space="preserve"> in the planning and implementation of the projects</w:t>
      </w:r>
      <w:r w:rsidR="00652330" w:rsidRPr="00185A4C">
        <w:rPr>
          <w:rFonts w:eastAsia="Times New Roman" w:cs="Arial"/>
        </w:rPr>
        <w:t>.</w:t>
      </w:r>
      <w:r w:rsidRPr="00185A4C">
        <w:rPr>
          <w:rStyle w:val="FootnoteReference"/>
          <w:rFonts w:eastAsia="Times New Roman" w:cs="Arial"/>
        </w:rPr>
        <w:footnoteReference w:id="44"/>
      </w:r>
      <w:r w:rsidRPr="00185A4C">
        <w:rPr>
          <w:rFonts w:eastAsia="Times New Roman" w:cs="Arial"/>
        </w:rPr>
        <w:t xml:space="preserve"> Critics of the Niger Delta Master </w:t>
      </w:r>
      <w:r w:rsidR="00652330" w:rsidRPr="00185A4C">
        <w:rPr>
          <w:rFonts w:eastAsia="Times New Roman" w:cs="Arial"/>
        </w:rPr>
        <w:t>P</w:t>
      </w:r>
      <w:r w:rsidRPr="00185A4C">
        <w:rPr>
          <w:rFonts w:eastAsia="Times New Roman" w:cs="Arial"/>
        </w:rPr>
        <w:t xml:space="preserve">lan </w:t>
      </w:r>
      <w:r w:rsidR="00652330" w:rsidRPr="00185A4C">
        <w:rPr>
          <w:rFonts w:eastAsia="Times New Roman" w:cs="Arial"/>
        </w:rPr>
        <w:t xml:space="preserve">developed </w:t>
      </w:r>
      <w:r w:rsidRPr="00185A4C">
        <w:rPr>
          <w:rFonts w:eastAsia="Times New Roman" w:cs="Arial"/>
        </w:rPr>
        <w:t xml:space="preserve">by NDDC also pointed to </w:t>
      </w:r>
      <w:r w:rsidR="00652330" w:rsidRPr="00185A4C">
        <w:rPr>
          <w:rFonts w:eastAsia="Times New Roman" w:cs="Arial"/>
        </w:rPr>
        <w:t xml:space="preserve">a </w:t>
      </w:r>
      <w:r w:rsidRPr="00185A4C">
        <w:rPr>
          <w:rFonts w:eastAsia="Times New Roman" w:cs="Arial"/>
        </w:rPr>
        <w:t xml:space="preserve">lack of local participation and failure to understand local priorities as some of the </w:t>
      </w:r>
      <w:r w:rsidR="00652330" w:rsidRPr="00185A4C">
        <w:rPr>
          <w:rFonts w:eastAsia="Times New Roman" w:cs="Arial"/>
        </w:rPr>
        <w:t>challenges to implementing the M</w:t>
      </w:r>
      <w:r w:rsidRPr="00185A4C">
        <w:rPr>
          <w:rFonts w:eastAsia="Times New Roman" w:cs="Arial"/>
        </w:rPr>
        <w:t xml:space="preserve">aster </w:t>
      </w:r>
      <w:r w:rsidR="00652330" w:rsidRPr="00185A4C">
        <w:rPr>
          <w:rFonts w:eastAsia="Times New Roman" w:cs="Arial"/>
        </w:rPr>
        <w:t>P</w:t>
      </w:r>
      <w:r w:rsidRPr="00185A4C">
        <w:rPr>
          <w:rFonts w:eastAsia="Times New Roman" w:cs="Arial"/>
        </w:rPr>
        <w:t>la</w:t>
      </w:r>
      <w:r w:rsidR="00652330" w:rsidRPr="00185A4C">
        <w:rPr>
          <w:rFonts w:eastAsia="Times New Roman" w:cs="Arial"/>
        </w:rPr>
        <w:t>n.</w:t>
      </w:r>
      <w:r w:rsidRPr="00185A4C">
        <w:rPr>
          <w:rStyle w:val="FootnoteReference"/>
          <w:rFonts w:eastAsia="Times New Roman" w:cs="Arial"/>
        </w:rPr>
        <w:footnoteReference w:id="45"/>
      </w:r>
      <w:r w:rsidRPr="00185A4C">
        <w:rPr>
          <w:rFonts w:eastAsia="Times New Roman" w:cs="Arial"/>
        </w:rPr>
        <w:t xml:space="preserve"> A citizen’s report</w:t>
      </w:r>
      <w:r w:rsidRPr="00185A4C">
        <w:rPr>
          <w:rStyle w:val="FootnoteReference"/>
          <w:rFonts w:eastAsia="Times New Roman" w:cs="Arial"/>
        </w:rPr>
        <w:footnoteReference w:id="46"/>
      </w:r>
      <w:r w:rsidRPr="00185A4C">
        <w:rPr>
          <w:rFonts w:eastAsia="Times New Roman" w:cs="Arial"/>
        </w:rPr>
        <w:t xml:space="preserve"> on states and local government budgets in the Niger Delta indicated that the public was not carried along in determining the infrastructural development preferences in the states. The report also revealed that the Rivers State local government town hall meetings were designed as report sessions where the government updates the people on what it had done, rather than enquire from the citizens what they need most to be done.</w:t>
      </w:r>
    </w:p>
    <w:p w14:paraId="61F53382" w14:textId="77777777" w:rsidR="00B1761F" w:rsidRPr="00225669" w:rsidRDefault="00B1761F" w:rsidP="00137DFE">
      <w:pPr>
        <w:shd w:val="clear" w:color="auto" w:fill="FFFFFF"/>
        <w:spacing w:line="196" w:lineRule="atLeast"/>
        <w:jc w:val="both"/>
        <w:rPr>
          <w:rFonts w:eastAsia="Times New Roman" w:cs="Arial"/>
          <w:color w:val="002060"/>
          <w:sz w:val="18"/>
          <w:szCs w:val="18"/>
        </w:rPr>
      </w:pPr>
    </w:p>
    <w:p w14:paraId="16C5E9EE" w14:textId="7FEAF1F1" w:rsidR="00B1761F" w:rsidRPr="00225669" w:rsidRDefault="00652330" w:rsidP="00137DFE">
      <w:pPr>
        <w:shd w:val="clear" w:color="auto" w:fill="FFFFFF"/>
        <w:spacing w:line="196" w:lineRule="atLeast"/>
        <w:jc w:val="both"/>
        <w:rPr>
          <w:rFonts w:eastAsia="Times New Roman" w:cs="Arial"/>
          <w:color w:val="002060"/>
        </w:rPr>
      </w:pPr>
      <w:r w:rsidRPr="00225669">
        <w:rPr>
          <w:rFonts w:cs="Arial"/>
          <w:color w:val="31849B" w:themeColor="accent5" w:themeShade="BF"/>
        </w:rPr>
        <w:t>There are w</w:t>
      </w:r>
      <w:r w:rsidR="00B1761F" w:rsidRPr="00225669">
        <w:rPr>
          <w:rFonts w:cs="Arial"/>
          <w:color w:val="31849B" w:themeColor="accent5" w:themeShade="BF"/>
        </w:rPr>
        <w:t>eak financial management and reporting systems within implementing agencies.</w:t>
      </w:r>
      <w:r w:rsidR="00B1761F" w:rsidRPr="00225669">
        <w:rPr>
          <w:rFonts w:eastAsia="Times New Roman" w:cs="Arial"/>
          <w:color w:val="002060"/>
        </w:rPr>
        <w:t xml:space="preserve"> </w:t>
      </w:r>
      <w:r w:rsidR="00B1761F" w:rsidRPr="00185A4C">
        <w:rPr>
          <w:rFonts w:eastAsia="Times New Roman" w:cs="Arial"/>
        </w:rPr>
        <w:t xml:space="preserve">For instance, </w:t>
      </w:r>
      <w:r w:rsidR="006E50E8" w:rsidRPr="00185A4C">
        <w:rPr>
          <w:rFonts w:eastAsia="Times New Roman" w:cs="Arial"/>
        </w:rPr>
        <w:t xml:space="preserve">according to the 2013 NEITI report, </w:t>
      </w:r>
      <w:r w:rsidR="00B1761F" w:rsidRPr="00185A4C">
        <w:rPr>
          <w:rFonts w:eastAsia="Times New Roman" w:cs="Arial"/>
        </w:rPr>
        <w:t xml:space="preserve">as at July 2013, NDDC </w:t>
      </w:r>
      <w:r w:rsidRPr="00185A4C">
        <w:rPr>
          <w:rFonts w:eastAsia="Times New Roman" w:cs="Arial"/>
        </w:rPr>
        <w:t>had</w:t>
      </w:r>
      <w:r w:rsidR="00B1761F" w:rsidRPr="00185A4C">
        <w:rPr>
          <w:rFonts w:eastAsia="Times New Roman" w:cs="Arial"/>
        </w:rPr>
        <w:t xml:space="preserve"> not prepared audited accounts for </w:t>
      </w:r>
      <w:r w:rsidRPr="00185A4C">
        <w:rPr>
          <w:rFonts w:eastAsia="Times New Roman" w:cs="Arial"/>
        </w:rPr>
        <w:t xml:space="preserve">the four preceding years: </w:t>
      </w:r>
      <w:r w:rsidR="00B1761F" w:rsidRPr="00185A4C">
        <w:rPr>
          <w:rFonts w:eastAsia="Times New Roman" w:cs="Arial"/>
        </w:rPr>
        <w:t>2009</w:t>
      </w:r>
      <w:r w:rsidRPr="00185A4C">
        <w:rPr>
          <w:rFonts w:eastAsia="Times New Roman" w:cs="Arial"/>
        </w:rPr>
        <w:t>-</w:t>
      </w:r>
      <w:r w:rsidR="00B1761F" w:rsidRPr="00185A4C">
        <w:rPr>
          <w:rFonts w:eastAsia="Times New Roman" w:cs="Arial"/>
        </w:rPr>
        <w:t xml:space="preserve">2012. </w:t>
      </w:r>
      <w:r w:rsidRPr="00185A4C">
        <w:rPr>
          <w:rFonts w:eastAsia="Times New Roman" w:cs="Arial"/>
        </w:rPr>
        <w:t xml:space="preserve">The report also highlighted various discrepancies including </w:t>
      </w:r>
      <w:r w:rsidR="00B1761F" w:rsidRPr="00185A4C">
        <w:rPr>
          <w:rFonts w:eastAsia="Times New Roman" w:cs="Arial"/>
        </w:rPr>
        <w:t xml:space="preserve">upward variation </w:t>
      </w:r>
      <w:r w:rsidRPr="00185A4C">
        <w:rPr>
          <w:rFonts w:eastAsia="Times New Roman" w:cs="Arial"/>
        </w:rPr>
        <w:t xml:space="preserve">of contract amounts, </w:t>
      </w:r>
      <w:r w:rsidR="00B1761F" w:rsidRPr="00185A4C">
        <w:rPr>
          <w:rFonts w:eastAsia="Times New Roman" w:cs="Arial"/>
        </w:rPr>
        <w:t>over payments of contracts</w:t>
      </w:r>
      <w:r w:rsidRPr="00185A4C">
        <w:rPr>
          <w:rFonts w:eastAsia="Times New Roman" w:cs="Arial"/>
        </w:rPr>
        <w:t xml:space="preserve">, payment for </w:t>
      </w:r>
      <w:r w:rsidR="00B1761F" w:rsidRPr="00185A4C">
        <w:rPr>
          <w:rFonts w:eastAsia="Times New Roman" w:cs="Arial"/>
        </w:rPr>
        <w:t>non-existing expenses</w:t>
      </w:r>
      <w:r w:rsidRPr="00185A4C">
        <w:rPr>
          <w:rFonts w:eastAsia="Times New Roman" w:cs="Arial"/>
        </w:rPr>
        <w:t>, etc.</w:t>
      </w:r>
      <w:r w:rsidR="00B1761F" w:rsidRPr="00185A4C">
        <w:rPr>
          <w:rStyle w:val="FootnoteReference"/>
          <w:rFonts w:eastAsia="Times New Roman" w:cs="Arial"/>
        </w:rPr>
        <w:footnoteReference w:id="47"/>
      </w:r>
      <w:r w:rsidR="006E50E8" w:rsidRPr="00185A4C">
        <w:rPr>
          <w:rFonts w:eastAsia="Times New Roman" w:cs="Arial"/>
        </w:rPr>
        <w:t xml:space="preserve"> The </w:t>
      </w:r>
      <w:r w:rsidR="00A64A6E" w:rsidRPr="00185A4C">
        <w:rPr>
          <w:rFonts w:eastAsia="Times New Roman" w:cs="Arial"/>
        </w:rPr>
        <w:t>audit found that there were</w:t>
      </w:r>
      <w:r w:rsidR="006E50E8" w:rsidRPr="00185A4C">
        <w:rPr>
          <w:rFonts w:eastAsia="Times New Roman" w:cs="Arial"/>
        </w:rPr>
        <w:t xml:space="preserve"> general allocation of </w:t>
      </w:r>
      <w:r w:rsidR="00A64A6E" w:rsidRPr="00185A4C">
        <w:rPr>
          <w:rFonts w:eastAsia="Times New Roman" w:cs="Arial"/>
        </w:rPr>
        <w:t xml:space="preserve">about </w:t>
      </w:r>
      <w:r w:rsidR="006E50E8" w:rsidRPr="00185A4C">
        <w:rPr>
          <w:rFonts w:eastAsia="Times New Roman" w:cs="Arial"/>
          <w:dstrike/>
        </w:rPr>
        <w:t>N</w:t>
      </w:r>
      <w:r w:rsidR="006E50E8" w:rsidRPr="00185A4C">
        <w:rPr>
          <w:rFonts w:eastAsia="Times New Roman" w:cs="Arial"/>
        </w:rPr>
        <w:t xml:space="preserve">7.44 billion to the nine state offices of </w:t>
      </w:r>
      <w:r w:rsidR="00A64A6E" w:rsidRPr="00185A4C">
        <w:rPr>
          <w:rFonts w:eastAsia="Times New Roman" w:cs="Arial"/>
        </w:rPr>
        <w:t>NDDC</w:t>
      </w:r>
      <w:r w:rsidR="006E50E8" w:rsidRPr="00185A4C">
        <w:rPr>
          <w:rFonts w:eastAsia="Times New Roman" w:cs="Arial"/>
        </w:rPr>
        <w:t xml:space="preserve"> for the completion of small ticket projects which were neither identifiable nor scheduled for monitoring and proper management</w:t>
      </w:r>
      <w:r w:rsidR="006E50E8" w:rsidRPr="00185A4C">
        <w:rPr>
          <w:rStyle w:val="FootnoteReference"/>
          <w:rFonts w:eastAsia="Times New Roman" w:cs="Arial"/>
        </w:rPr>
        <w:footnoteReference w:id="48"/>
      </w:r>
      <w:r w:rsidR="006E50E8" w:rsidRPr="00185A4C">
        <w:rPr>
          <w:rFonts w:eastAsia="Times New Roman" w:cs="Arial"/>
        </w:rPr>
        <w:t>.</w:t>
      </w:r>
    </w:p>
    <w:p w14:paraId="41AC11EC" w14:textId="77777777" w:rsidR="00B1761F" w:rsidRPr="00225669" w:rsidRDefault="00B1761F" w:rsidP="00137DFE">
      <w:pPr>
        <w:shd w:val="clear" w:color="auto" w:fill="FFFFFF"/>
        <w:spacing w:line="196" w:lineRule="atLeast"/>
        <w:jc w:val="both"/>
        <w:rPr>
          <w:rFonts w:eastAsia="Times New Roman" w:cs="Arial"/>
          <w:color w:val="002060"/>
        </w:rPr>
      </w:pPr>
    </w:p>
    <w:p w14:paraId="5F20392F" w14:textId="28470191" w:rsidR="00F17405" w:rsidRPr="00225669" w:rsidRDefault="00652330" w:rsidP="00137DFE">
      <w:pPr>
        <w:shd w:val="clear" w:color="auto" w:fill="FFFFFF"/>
        <w:spacing w:line="196" w:lineRule="atLeast"/>
        <w:jc w:val="both"/>
        <w:rPr>
          <w:rFonts w:eastAsia="Times New Roman" w:cs="Arial"/>
          <w:color w:val="002060"/>
        </w:rPr>
      </w:pPr>
      <w:r w:rsidRPr="00225669">
        <w:rPr>
          <w:rFonts w:cs="Arial"/>
          <w:color w:val="31849B" w:themeColor="accent5" w:themeShade="BF"/>
        </w:rPr>
        <w:t>There is also s</w:t>
      </w:r>
      <w:r w:rsidR="00B1761F" w:rsidRPr="00225669">
        <w:rPr>
          <w:rFonts w:cs="Arial"/>
          <w:color w:val="31849B" w:themeColor="accent5" w:themeShade="BF"/>
        </w:rPr>
        <w:t xml:space="preserve">ystem-wide failure in monitoring and evaluation of projects and </w:t>
      </w:r>
      <w:r w:rsidRPr="00225669">
        <w:rPr>
          <w:rFonts w:cs="Arial"/>
          <w:color w:val="31849B" w:themeColor="accent5" w:themeShade="BF"/>
        </w:rPr>
        <w:t xml:space="preserve">in conducting </w:t>
      </w:r>
      <w:r w:rsidR="00B1761F" w:rsidRPr="00225669">
        <w:rPr>
          <w:rFonts w:cs="Arial"/>
          <w:color w:val="31849B" w:themeColor="accent5" w:themeShade="BF"/>
        </w:rPr>
        <w:t>beneficiary impact assessment.</w:t>
      </w:r>
      <w:r w:rsidR="00B1761F" w:rsidRPr="00225669">
        <w:rPr>
          <w:rFonts w:eastAsia="Times New Roman" w:cs="Arial"/>
          <w:color w:val="002060"/>
        </w:rPr>
        <w:t xml:space="preserve"> </w:t>
      </w:r>
      <w:r w:rsidR="00F17405" w:rsidRPr="00185A4C">
        <w:rPr>
          <w:rFonts w:eastAsia="Times New Roman" w:cs="Arial"/>
        </w:rPr>
        <w:t>As a result, there are many instances where government agencies paid for projects that were not identifiable.</w:t>
      </w:r>
      <w:r w:rsidR="00F17405" w:rsidRPr="00185A4C">
        <w:rPr>
          <w:rStyle w:val="FootnoteReference"/>
          <w:rFonts w:eastAsia="Times New Roman" w:cs="Arial"/>
        </w:rPr>
        <w:footnoteReference w:id="49"/>
      </w:r>
      <w:r w:rsidR="00F17405" w:rsidRPr="00185A4C">
        <w:rPr>
          <w:rFonts w:eastAsia="Times New Roman" w:cs="Arial"/>
        </w:rPr>
        <w:t xml:space="preserve"> There are also incidents where the payment details do not reconcile with the figures included in the agency’s financial statement with a lot of un-reconciled differences</w:t>
      </w:r>
      <w:r w:rsidR="00F17405" w:rsidRPr="00225669">
        <w:rPr>
          <w:rFonts w:eastAsia="Times New Roman" w:cs="Arial"/>
          <w:color w:val="002060"/>
        </w:rPr>
        <w:t>.</w:t>
      </w:r>
    </w:p>
    <w:p w14:paraId="6C20C571" w14:textId="77777777" w:rsidR="00B1761F" w:rsidRPr="00225669" w:rsidRDefault="00B1761F" w:rsidP="00137DFE">
      <w:pPr>
        <w:shd w:val="clear" w:color="auto" w:fill="FFFFFF"/>
        <w:spacing w:line="196" w:lineRule="atLeast"/>
        <w:jc w:val="both"/>
        <w:rPr>
          <w:rFonts w:eastAsia="Times New Roman" w:cs="Arial"/>
          <w:color w:val="002060"/>
        </w:rPr>
      </w:pPr>
    </w:p>
    <w:p w14:paraId="769991F8" w14:textId="78FD795C" w:rsidR="00B1761F" w:rsidRPr="00185A4C" w:rsidRDefault="00A64A6E" w:rsidP="00137DFE">
      <w:pPr>
        <w:shd w:val="clear" w:color="auto" w:fill="FFFFFF"/>
        <w:spacing w:line="196" w:lineRule="atLeast"/>
        <w:jc w:val="both"/>
        <w:rPr>
          <w:rFonts w:eastAsia="Times New Roman" w:cs="Arial"/>
        </w:rPr>
      </w:pPr>
      <w:r w:rsidRPr="00225669">
        <w:rPr>
          <w:rFonts w:cs="Arial"/>
          <w:color w:val="31849B" w:themeColor="accent5" w:themeShade="BF"/>
        </w:rPr>
        <w:t>There is weak capacity for project implementation and indications of c</w:t>
      </w:r>
      <w:r w:rsidR="00B1761F" w:rsidRPr="00225669">
        <w:rPr>
          <w:rFonts w:cs="Arial"/>
          <w:color w:val="31849B" w:themeColor="accent5" w:themeShade="BF"/>
        </w:rPr>
        <w:t>orruption</w:t>
      </w:r>
      <w:r w:rsidR="00B1761F" w:rsidRPr="00225669">
        <w:rPr>
          <w:rFonts w:eastAsia="Times New Roman" w:cs="Arial"/>
          <w:color w:val="002060"/>
        </w:rPr>
        <w:t xml:space="preserve">. </w:t>
      </w:r>
      <w:r w:rsidRPr="00185A4C">
        <w:rPr>
          <w:rFonts w:eastAsia="Times New Roman" w:cs="Arial"/>
        </w:rPr>
        <w:t>According to Hanson (2015)</w:t>
      </w:r>
      <w:r w:rsidR="00B1761F" w:rsidRPr="00185A4C">
        <w:rPr>
          <w:rStyle w:val="FootnoteReference"/>
          <w:rFonts w:eastAsia="Times New Roman" w:cs="Arial"/>
        </w:rPr>
        <w:footnoteReference w:id="50"/>
      </w:r>
      <w:r w:rsidRPr="00185A4C">
        <w:rPr>
          <w:rFonts w:eastAsia="Times New Roman" w:cs="Arial"/>
        </w:rPr>
        <w:t xml:space="preserve">, a contract originally awarded at </w:t>
      </w:r>
      <w:r w:rsidRPr="00185A4C">
        <w:rPr>
          <w:rFonts w:eastAsia="Times New Roman" w:cs="Arial"/>
          <w:dstrike/>
        </w:rPr>
        <w:t>N</w:t>
      </w:r>
      <w:r w:rsidRPr="00185A4C">
        <w:rPr>
          <w:rFonts w:eastAsia="Times New Roman" w:cs="Arial"/>
        </w:rPr>
        <w:t xml:space="preserve">3.39 billion to Roudo Nigeria Ltd for sand filling and shore protection of Ogu Town ended up costing </w:t>
      </w:r>
      <w:r w:rsidRPr="00185A4C">
        <w:rPr>
          <w:rFonts w:eastAsia="Times New Roman" w:cs="Arial"/>
          <w:dstrike/>
        </w:rPr>
        <w:t>N</w:t>
      </w:r>
      <w:r w:rsidRPr="00185A4C">
        <w:rPr>
          <w:rFonts w:eastAsia="Times New Roman" w:cs="Arial"/>
        </w:rPr>
        <w:t xml:space="preserve">8.13 billion. Also, the construction of Isielu-Okaigbene Idungboko road awarded to JID Construction Company Ltd for </w:t>
      </w:r>
      <w:r w:rsidRPr="00185A4C">
        <w:rPr>
          <w:rFonts w:eastAsia="Times New Roman" w:cs="Arial"/>
          <w:dstrike/>
        </w:rPr>
        <w:t>N</w:t>
      </w:r>
      <w:r w:rsidRPr="00185A4C">
        <w:rPr>
          <w:rFonts w:eastAsia="Times New Roman" w:cs="Arial"/>
        </w:rPr>
        <w:t xml:space="preserve">2.35 billion ended up at </w:t>
      </w:r>
      <w:r w:rsidRPr="00185A4C">
        <w:rPr>
          <w:rFonts w:eastAsia="Times New Roman" w:cs="Arial"/>
          <w:dstrike/>
        </w:rPr>
        <w:t>N</w:t>
      </w:r>
      <w:r w:rsidRPr="00185A4C">
        <w:rPr>
          <w:rFonts w:eastAsia="Times New Roman" w:cs="Arial"/>
        </w:rPr>
        <w:t xml:space="preserve">3.73 billion. Since inception NDDC has had a budget of about </w:t>
      </w:r>
      <w:r w:rsidRPr="00185A4C">
        <w:rPr>
          <w:rFonts w:eastAsia="Times New Roman" w:cs="Arial"/>
          <w:dstrike/>
        </w:rPr>
        <w:t>N</w:t>
      </w:r>
      <w:r w:rsidRPr="00185A4C">
        <w:rPr>
          <w:rFonts w:eastAsia="Times New Roman" w:cs="Arial"/>
        </w:rPr>
        <w:t xml:space="preserve">2.2 trillion of which about </w:t>
      </w:r>
      <w:r w:rsidRPr="00185A4C">
        <w:rPr>
          <w:rFonts w:eastAsia="Times New Roman" w:cs="Arial"/>
          <w:dstrike/>
        </w:rPr>
        <w:t>N</w:t>
      </w:r>
      <w:r w:rsidRPr="00185A4C">
        <w:rPr>
          <w:rFonts w:eastAsia="Times New Roman" w:cs="Arial"/>
        </w:rPr>
        <w:t xml:space="preserve">1.4 trillion has been received. As of 2008, NDDC had awarded just over 2,500 projects which rose sharply to 6,000 projects by 2013 and now 8,000 projects in 2015, which is worth </w:t>
      </w:r>
      <w:r w:rsidRPr="00185A4C">
        <w:rPr>
          <w:rFonts w:eastAsia="Times New Roman" w:cs="Arial"/>
          <w:dstrike/>
        </w:rPr>
        <w:t>N</w:t>
      </w:r>
      <w:r w:rsidRPr="00185A4C">
        <w:rPr>
          <w:rFonts w:eastAsia="Times New Roman" w:cs="Arial"/>
        </w:rPr>
        <w:t xml:space="preserve">1 trillion and about </w:t>
      </w:r>
      <w:r w:rsidRPr="00185A4C">
        <w:rPr>
          <w:rFonts w:eastAsia="Times New Roman" w:cs="Arial"/>
          <w:dstrike/>
        </w:rPr>
        <w:t>N</w:t>
      </w:r>
      <w:r w:rsidRPr="00185A4C">
        <w:rPr>
          <w:rFonts w:eastAsia="Times New Roman" w:cs="Arial"/>
        </w:rPr>
        <w:t>800 billion is needed to clear outstanding liabilities</w:t>
      </w:r>
    </w:p>
    <w:p w14:paraId="7C81DE90" w14:textId="77777777" w:rsidR="00B1761F" w:rsidRPr="00225669" w:rsidRDefault="00B1761F" w:rsidP="00137DFE">
      <w:pPr>
        <w:jc w:val="both"/>
        <w:rPr>
          <w:rFonts w:eastAsia="Times New Roman" w:cs="Arial"/>
          <w:color w:val="002060"/>
        </w:rPr>
      </w:pPr>
    </w:p>
    <w:p w14:paraId="64C3A141" w14:textId="63F7FD66" w:rsidR="00A64A6E" w:rsidRPr="00185A4C" w:rsidRDefault="00E5419E" w:rsidP="00137DFE">
      <w:pPr>
        <w:shd w:val="clear" w:color="auto" w:fill="FFFFFF"/>
        <w:spacing w:line="196" w:lineRule="atLeast"/>
        <w:jc w:val="both"/>
        <w:rPr>
          <w:rFonts w:eastAsia="Times New Roman" w:cs="Arial"/>
        </w:rPr>
      </w:pPr>
      <w:r w:rsidRPr="00225669">
        <w:rPr>
          <w:rFonts w:cs="Arial"/>
          <w:color w:val="31849B" w:themeColor="accent5" w:themeShade="BF"/>
        </w:rPr>
        <w:t xml:space="preserve">Too much emphasis is placed on </w:t>
      </w:r>
      <w:r w:rsidR="00A64A6E" w:rsidRPr="00225669">
        <w:rPr>
          <w:rFonts w:cs="Arial"/>
          <w:color w:val="31849B" w:themeColor="accent5" w:themeShade="BF"/>
        </w:rPr>
        <w:t xml:space="preserve">infrastructure development and less on social investments. </w:t>
      </w:r>
      <w:r w:rsidRPr="00185A4C">
        <w:rPr>
          <w:rFonts w:eastAsia="Times New Roman" w:cs="Arial"/>
        </w:rPr>
        <w:t>Prior to 2007 up until 2011, the contract allocation rate for roads and bridges is an average of 59.46 percent, while that of jetties/erosion/land reclamation is 17.16 percent</w:t>
      </w:r>
      <w:r w:rsidR="00A64A6E" w:rsidRPr="00185A4C">
        <w:rPr>
          <w:rFonts w:eastAsia="Times New Roman" w:cs="Arial"/>
        </w:rPr>
        <w:t>,</w:t>
      </w:r>
      <w:r w:rsidRPr="00185A4C">
        <w:rPr>
          <w:rFonts w:eastAsia="Times New Roman" w:cs="Arial"/>
        </w:rPr>
        <w:t xml:space="preserve"> leaving a low allocation rate of 23.38 percent of the contract for the period under review to be shared amongst environment/waste management, electrification, water projects, education infrastructure and others</w:t>
      </w:r>
      <w:r w:rsidRPr="00185A4C">
        <w:rPr>
          <w:rStyle w:val="FootnoteReference"/>
          <w:rFonts w:eastAsia="Times New Roman" w:cs="Arial"/>
        </w:rPr>
        <w:footnoteReference w:id="51"/>
      </w:r>
      <w:r w:rsidRPr="00185A4C">
        <w:rPr>
          <w:rFonts w:eastAsia="Times New Roman" w:cs="Arial"/>
        </w:rPr>
        <w:t>.</w:t>
      </w:r>
    </w:p>
    <w:p w14:paraId="5F933A0B" w14:textId="400E235D" w:rsidR="00226022" w:rsidRPr="00225669" w:rsidRDefault="00226022" w:rsidP="00137DFE">
      <w:pPr>
        <w:shd w:val="clear" w:color="auto" w:fill="FFFFFF"/>
        <w:spacing w:line="196" w:lineRule="atLeast"/>
        <w:jc w:val="both"/>
        <w:rPr>
          <w:rFonts w:eastAsia="Times New Roman" w:cs="Arial"/>
          <w:color w:val="002060"/>
        </w:rPr>
      </w:pPr>
      <w:r w:rsidRPr="00225669">
        <w:br w:type="page"/>
      </w:r>
    </w:p>
    <w:p w14:paraId="2E269881" w14:textId="77777777" w:rsidR="006354DB" w:rsidRPr="00225669" w:rsidRDefault="003074FC" w:rsidP="00137DFE">
      <w:pPr>
        <w:pStyle w:val="Heading1"/>
      </w:pPr>
      <w:bookmarkStart w:id="30" w:name="_Toc311709502"/>
      <w:r w:rsidRPr="00225669">
        <w:t>Case Study: Presidential Amnesty Programme</w:t>
      </w:r>
      <w:bookmarkEnd w:id="30"/>
    </w:p>
    <w:p w14:paraId="19B564E8" w14:textId="21D2DC77" w:rsidR="008F545D" w:rsidRPr="00225669" w:rsidRDefault="008F545D" w:rsidP="00137DFE">
      <w:pPr>
        <w:pStyle w:val="Summary"/>
      </w:pPr>
      <w:r w:rsidRPr="00225669">
        <w:t xml:space="preserve">On June 25, 2009, President Umaru Yar’Adua granted amnesty to all agitators in the Niger Delta who were willing to denounce violence and reintegrate into civil society. The Presidential Amnesty Programme was set up to design and coordinate the disarmament, demobilisation, and reintegration of these ex-agitators. From inception </w:t>
      </w:r>
      <w:r w:rsidR="007E357E" w:rsidRPr="00225669">
        <w:t>until today</w:t>
      </w:r>
      <w:r w:rsidRPr="00225669">
        <w:t xml:space="preserve">, government has allocated about </w:t>
      </w:r>
      <w:r w:rsidRPr="00225669">
        <w:rPr>
          <w:dstrike/>
        </w:rPr>
        <w:t>N</w:t>
      </w:r>
      <w:r w:rsidRPr="00225669">
        <w:rPr>
          <w:bCs/>
        </w:rPr>
        <w:t>0.2</w:t>
      </w:r>
      <w:r w:rsidR="00EC1802" w:rsidRPr="00225669">
        <w:rPr>
          <w:bCs/>
        </w:rPr>
        <w:t>7</w:t>
      </w:r>
      <w:r w:rsidR="00BD0543" w:rsidRPr="00225669">
        <w:rPr>
          <w:bCs/>
        </w:rPr>
        <w:t>5</w:t>
      </w:r>
      <w:r w:rsidRPr="00225669">
        <w:rPr>
          <w:bCs/>
        </w:rPr>
        <w:t xml:space="preserve"> trillion to the programme to train beneficiaries from the Niger Delta region. The benefic</w:t>
      </w:r>
      <w:r w:rsidR="00987246" w:rsidRPr="00225669">
        <w:rPr>
          <w:bCs/>
        </w:rPr>
        <w:t>iaries of the programme include</w:t>
      </w:r>
      <w:r w:rsidRPr="00225669">
        <w:rPr>
          <w:bCs/>
        </w:rPr>
        <w:t xml:space="preserve"> </w:t>
      </w:r>
      <w:r w:rsidR="00987246" w:rsidRPr="00225669">
        <w:rPr>
          <w:bCs/>
        </w:rPr>
        <w:t xml:space="preserve">former leaders (“Generals”) </w:t>
      </w:r>
      <w:r w:rsidRPr="00225669">
        <w:rPr>
          <w:bCs/>
        </w:rPr>
        <w:t xml:space="preserve">of the various militants groups, </w:t>
      </w:r>
      <w:r w:rsidR="00535889" w:rsidRPr="00225669">
        <w:rPr>
          <w:bCs/>
        </w:rPr>
        <w:t>30</w:t>
      </w:r>
      <w:r w:rsidRPr="00225669">
        <w:rPr>
          <w:bCs/>
        </w:rPr>
        <w:t xml:space="preserve">,000 ex-agitators and 5,000 youths from </w:t>
      </w:r>
      <w:r w:rsidR="003B08B4" w:rsidRPr="00225669">
        <w:rPr>
          <w:bCs/>
        </w:rPr>
        <w:t>violence-</w:t>
      </w:r>
      <w:r w:rsidRPr="00225669">
        <w:rPr>
          <w:bCs/>
        </w:rPr>
        <w:t xml:space="preserve">impacted </w:t>
      </w:r>
      <w:r w:rsidR="00730059" w:rsidRPr="00225669">
        <w:rPr>
          <w:bCs/>
        </w:rPr>
        <w:t>communities.</w:t>
      </w:r>
      <w:r w:rsidR="00730059" w:rsidRPr="00225669">
        <w:t xml:space="preserve"> The</w:t>
      </w:r>
      <w:r w:rsidRPr="00225669">
        <w:t xml:space="preserve"> programme is widely regarded to have been successful in its core mandate of stabilising the security situation in the Niger Delta as a pre-condition for development of the region.</w:t>
      </w:r>
    </w:p>
    <w:p w14:paraId="5EECDC2A" w14:textId="77777777" w:rsidR="003074FC" w:rsidRPr="00225669" w:rsidRDefault="003074FC" w:rsidP="00137DFE">
      <w:pPr>
        <w:widowControl w:val="0"/>
        <w:autoSpaceDE w:val="0"/>
        <w:autoSpaceDN w:val="0"/>
        <w:adjustRightInd w:val="0"/>
        <w:jc w:val="both"/>
        <w:rPr>
          <w:rFonts w:cs="Arial"/>
          <w:sz w:val="22"/>
        </w:rPr>
      </w:pPr>
    </w:p>
    <w:p w14:paraId="3FC726D4" w14:textId="77777777" w:rsidR="00BD0E17" w:rsidRPr="00225669" w:rsidRDefault="00D525DF" w:rsidP="00137DFE">
      <w:pPr>
        <w:pStyle w:val="Heading2"/>
        <w:rPr>
          <w:rFonts w:ascii="Arial" w:hAnsi="Arial" w:cs="Arial"/>
        </w:rPr>
      </w:pPr>
      <w:bookmarkStart w:id="31" w:name="_Toc311709503"/>
      <w:r w:rsidRPr="00225669">
        <w:rPr>
          <w:rFonts w:ascii="Arial" w:hAnsi="Arial" w:cs="Arial"/>
        </w:rPr>
        <w:t>About the Presidential Amnesty Programme</w:t>
      </w:r>
      <w:bookmarkEnd w:id="31"/>
    </w:p>
    <w:p w14:paraId="56295840" w14:textId="12BB3A6F" w:rsidR="00D525DF" w:rsidRPr="00225669" w:rsidRDefault="00D56E06" w:rsidP="00137DFE">
      <w:pPr>
        <w:jc w:val="both"/>
        <w:rPr>
          <w:rFonts w:cs="Arial"/>
        </w:rPr>
      </w:pPr>
      <w:r w:rsidRPr="00225669">
        <w:rPr>
          <w:rFonts w:cs="Arial"/>
        </w:rPr>
        <w:t xml:space="preserve">The conflict in the Niger Delta region arose mainly from inadequacies of the attempts by previous government to meet the requests of the people for sustainable development of their region. After months of negotiations with the agitators in the Niger Delta, Federal Government of Nigeria acknowledged that certain elements in the region </w:t>
      </w:r>
      <w:r w:rsidR="00730059" w:rsidRPr="00225669">
        <w:rPr>
          <w:rFonts w:cs="Arial"/>
        </w:rPr>
        <w:t>had resorted</w:t>
      </w:r>
      <w:r w:rsidRPr="00225669">
        <w:rPr>
          <w:rFonts w:cs="Arial"/>
        </w:rPr>
        <w:t xml:space="preserve"> to unlawful means for agitation for the development of the region</w:t>
      </w:r>
      <w:r w:rsidR="003B08B4" w:rsidRPr="00225669">
        <w:rPr>
          <w:rFonts w:cs="Arial"/>
        </w:rPr>
        <w:t>,</w:t>
      </w:r>
      <w:r w:rsidRPr="00225669">
        <w:rPr>
          <w:rFonts w:cs="Arial"/>
        </w:rPr>
        <w:t xml:space="preserve"> including militancy that threaten</w:t>
      </w:r>
      <w:r w:rsidR="00E579CF" w:rsidRPr="00225669">
        <w:rPr>
          <w:rFonts w:cs="Arial"/>
        </w:rPr>
        <w:t>ed</w:t>
      </w:r>
      <w:r w:rsidRPr="00225669">
        <w:rPr>
          <w:rFonts w:cs="Arial"/>
        </w:rPr>
        <w:t xml:space="preserve"> the peace, security, order, and good governance of the region and nation.</w:t>
      </w:r>
    </w:p>
    <w:p w14:paraId="0B2B62CC" w14:textId="77777777" w:rsidR="00D56E06" w:rsidRPr="00225669" w:rsidRDefault="00D56E06" w:rsidP="00137DFE">
      <w:pPr>
        <w:jc w:val="both"/>
        <w:rPr>
          <w:rFonts w:cs="Arial"/>
        </w:rPr>
      </w:pPr>
    </w:p>
    <w:p w14:paraId="1A79F3E5" w14:textId="78C467E6" w:rsidR="00D525DF" w:rsidRPr="00225669" w:rsidRDefault="00D56E06" w:rsidP="00137DFE">
      <w:pPr>
        <w:jc w:val="both"/>
        <w:rPr>
          <w:rFonts w:cs="Arial"/>
        </w:rPr>
      </w:pPr>
      <w:r w:rsidRPr="00225669">
        <w:rPr>
          <w:rFonts w:cs="Arial"/>
        </w:rPr>
        <w:t>Consequent on the authority of Section 175 of the Constitution of the Federal Republic of Nigeria, on June 25, 2009, President Umaru Yar’Adua granted amnesty and unconditional pardon to all persons who were directly or indirectly involved in the militancy activities in the Niger Delta. The pardon took effect for each agitator upon the surrender of all arms, ammunition, and equipment</w:t>
      </w:r>
      <w:r w:rsidR="00BD0543" w:rsidRPr="00225669">
        <w:rPr>
          <w:rFonts w:cs="Arial"/>
        </w:rPr>
        <w:t>,</w:t>
      </w:r>
      <w:r w:rsidRPr="00225669">
        <w:rPr>
          <w:rFonts w:cs="Arial"/>
        </w:rPr>
        <w:t xml:space="preserve"> and </w:t>
      </w:r>
      <w:r w:rsidR="00BD0543" w:rsidRPr="00225669">
        <w:rPr>
          <w:rFonts w:cs="Arial"/>
        </w:rPr>
        <w:t xml:space="preserve">the </w:t>
      </w:r>
      <w:r w:rsidR="00730059" w:rsidRPr="00225669">
        <w:rPr>
          <w:rFonts w:cs="Arial"/>
        </w:rPr>
        <w:t xml:space="preserve">formal </w:t>
      </w:r>
      <w:r w:rsidR="00BD0543" w:rsidRPr="00225669">
        <w:rPr>
          <w:rFonts w:cs="Arial"/>
        </w:rPr>
        <w:t xml:space="preserve">signing of an </w:t>
      </w:r>
      <w:r w:rsidR="00730059" w:rsidRPr="00225669">
        <w:rPr>
          <w:rFonts w:cs="Arial"/>
        </w:rPr>
        <w:t>undertaking r</w:t>
      </w:r>
      <w:r w:rsidRPr="00225669">
        <w:rPr>
          <w:rFonts w:cs="Arial"/>
        </w:rPr>
        <w:t>enouncing militancy</w:t>
      </w:r>
      <w:r w:rsidR="00730059" w:rsidRPr="00225669">
        <w:rPr>
          <w:rFonts w:cs="Arial"/>
        </w:rPr>
        <w:t xml:space="preserve"> and violence.</w:t>
      </w:r>
    </w:p>
    <w:p w14:paraId="538E4C1E" w14:textId="77777777" w:rsidR="00D525DF" w:rsidRPr="00225669" w:rsidRDefault="00D525DF" w:rsidP="00137DFE">
      <w:pPr>
        <w:jc w:val="both"/>
        <w:rPr>
          <w:rFonts w:cs="Arial"/>
        </w:rPr>
      </w:pPr>
    </w:p>
    <w:p w14:paraId="150AF005" w14:textId="2B9EF9B3" w:rsidR="00D525DF" w:rsidRPr="00225669" w:rsidRDefault="00D56E06" w:rsidP="00137DFE">
      <w:pPr>
        <w:jc w:val="both"/>
        <w:rPr>
          <w:rFonts w:cs="Arial"/>
        </w:rPr>
      </w:pPr>
      <w:r w:rsidRPr="00225669">
        <w:rPr>
          <w:rFonts w:cs="Arial"/>
        </w:rPr>
        <w:t xml:space="preserve">The period for signing up for the amnesty was from June 25, 2009 to October 04, 2009. However, a number of agitators who initially did not trust the commitment of the government to the amnesty programme joined after the deadline. A total number of 30,000 </w:t>
      </w:r>
      <w:r w:rsidR="00467CCC" w:rsidRPr="00225669">
        <w:rPr>
          <w:rFonts w:cs="Arial"/>
        </w:rPr>
        <w:t xml:space="preserve">delegates </w:t>
      </w:r>
      <w:r w:rsidRPr="00225669">
        <w:rPr>
          <w:rFonts w:cs="Arial"/>
        </w:rPr>
        <w:t>accepted the amnesty.</w:t>
      </w:r>
      <w:r w:rsidR="00467CCC" w:rsidRPr="00225669">
        <w:rPr>
          <w:rFonts w:cs="Arial"/>
        </w:rPr>
        <w:t xml:space="preserve"> This number includes ex-militant agitators and beneficiaries from violence-impacted communities.</w:t>
      </w:r>
    </w:p>
    <w:p w14:paraId="5FA6B07A" w14:textId="77777777" w:rsidR="00D525DF" w:rsidRPr="00225669" w:rsidRDefault="00D525DF" w:rsidP="00137DFE">
      <w:pPr>
        <w:jc w:val="both"/>
        <w:rPr>
          <w:rFonts w:cs="Arial"/>
        </w:rPr>
      </w:pPr>
    </w:p>
    <w:p w14:paraId="18CD2F29" w14:textId="3C84A456" w:rsidR="006F57BB" w:rsidRPr="00225669" w:rsidRDefault="006F57BB" w:rsidP="00137DFE">
      <w:pPr>
        <w:widowControl w:val="0"/>
        <w:autoSpaceDE w:val="0"/>
        <w:autoSpaceDN w:val="0"/>
        <w:adjustRightInd w:val="0"/>
        <w:jc w:val="both"/>
        <w:rPr>
          <w:rFonts w:cs="Arial"/>
        </w:rPr>
      </w:pPr>
      <w:r w:rsidRPr="00225669">
        <w:rPr>
          <w:rFonts w:cs="Arial"/>
        </w:rPr>
        <w:t>With the acceptance of the amnesty offer by the agitators, Federal Government of Nigeria pledged its commitment to institute programmes to assist in the disarmament, demobili</w:t>
      </w:r>
      <w:r w:rsidR="00467CCC" w:rsidRPr="00225669">
        <w:rPr>
          <w:rFonts w:cs="Arial"/>
        </w:rPr>
        <w:t>s</w:t>
      </w:r>
      <w:r w:rsidRPr="00225669">
        <w:rPr>
          <w:rFonts w:cs="Arial"/>
        </w:rPr>
        <w:t>ation, and provision of reintegration assistance to ex-agitators. The Presidential Amnesty Programme was established by the Federal Government of Nigeria to design and implement activities that would transition the ex-agitators back into civilian society.</w:t>
      </w:r>
    </w:p>
    <w:p w14:paraId="1296EE85" w14:textId="77777777" w:rsidR="006F57BB" w:rsidRPr="00225669" w:rsidRDefault="006F57BB" w:rsidP="00137DFE">
      <w:pPr>
        <w:widowControl w:val="0"/>
        <w:autoSpaceDE w:val="0"/>
        <w:autoSpaceDN w:val="0"/>
        <w:adjustRightInd w:val="0"/>
        <w:jc w:val="both"/>
        <w:rPr>
          <w:rFonts w:cs="Arial"/>
        </w:rPr>
      </w:pPr>
    </w:p>
    <w:p w14:paraId="434927C1" w14:textId="77777777" w:rsidR="006F57BB" w:rsidRPr="00225669" w:rsidRDefault="006F57BB" w:rsidP="00137DFE">
      <w:pPr>
        <w:widowControl w:val="0"/>
        <w:autoSpaceDE w:val="0"/>
        <w:autoSpaceDN w:val="0"/>
        <w:adjustRightInd w:val="0"/>
        <w:jc w:val="both"/>
        <w:rPr>
          <w:rFonts w:cs="Arial"/>
          <w:sz w:val="22"/>
        </w:rPr>
      </w:pPr>
      <w:r w:rsidRPr="00225669">
        <w:rPr>
          <w:rFonts w:cs="Arial"/>
        </w:rPr>
        <w:t>The overarching goal of the amnesty programme is to stabilise the security situation in the region as a precondition to facilitat</w:t>
      </w:r>
      <w:r w:rsidR="00E579CF" w:rsidRPr="00225669">
        <w:rPr>
          <w:rFonts w:cs="Arial"/>
        </w:rPr>
        <w:t>ing</w:t>
      </w:r>
      <w:r w:rsidRPr="00225669">
        <w:rPr>
          <w:rFonts w:cs="Arial"/>
        </w:rPr>
        <w:t xml:space="preserve"> intensive socio-economic development. This goal would be achieved through the effective implementation of a disarmament, demobilisation, and reintegration (DDR) programme</w:t>
      </w:r>
      <w:r w:rsidRPr="00225669">
        <w:rPr>
          <w:rFonts w:cs="Arial"/>
          <w:sz w:val="22"/>
        </w:rPr>
        <w:t>.</w:t>
      </w:r>
    </w:p>
    <w:p w14:paraId="6886DCDF" w14:textId="77777777" w:rsidR="00D525DF" w:rsidRPr="00225669" w:rsidRDefault="00D525DF" w:rsidP="00137DFE">
      <w:pPr>
        <w:jc w:val="both"/>
        <w:rPr>
          <w:rFonts w:cs="Arial"/>
        </w:rPr>
      </w:pPr>
    </w:p>
    <w:p w14:paraId="18D434F9" w14:textId="77777777" w:rsidR="00D778A0" w:rsidRPr="00225669" w:rsidRDefault="00D778A0" w:rsidP="00137DFE">
      <w:pPr>
        <w:pStyle w:val="Heading2"/>
        <w:rPr>
          <w:rFonts w:ascii="Arial" w:hAnsi="Arial" w:cs="Arial"/>
        </w:rPr>
      </w:pPr>
      <w:bookmarkStart w:id="32" w:name="_Toc311709504"/>
      <w:r w:rsidRPr="00225669">
        <w:rPr>
          <w:rFonts w:ascii="Arial" w:hAnsi="Arial" w:cs="Arial"/>
        </w:rPr>
        <w:t>Fund Allocations to the Presidential Amnesty Programme</w:t>
      </w:r>
      <w:bookmarkEnd w:id="32"/>
    </w:p>
    <w:p w14:paraId="62469A06" w14:textId="12106BE9" w:rsidR="00D778A0" w:rsidRPr="00225669" w:rsidRDefault="008C2E9C" w:rsidP="00137DFE">
      <w:pPr>
        <w:jc w:val="both"/>
        <w:rPr>
          <w:rFonts w:cs="Arial"/>
        </w:rPr>
      </w:pPr>
      <w:r w:rsidRPr="00225669">
        <w:rPr>
          <w:rFonts w:cs="Arial"/>
        </w:rPr>
        <w:t xml:space="preserve">There is no clarity as to how much has been spent on the Presidential Amnesty Programme to date. Based on reports from the Budget Office of the Federation, </w:t>
      </w:r>
      <w:r w:rsidRPr="00225669">
        <w:rPr>
          <w:rFonts w:cs="Arial"/>
          <w:dstrike/>
        </w:rPr>
        <w:t>N</w:t>
      </w:r>
      <w:r w:rsidRPr="00225669">
        <w:rPr>
          <w:rFonts w:cs="Arial"/>
          <w:bCs/>
        </w:rPr>
        <w:t xml:space="preserve">0.275 trillion was spent on the programme from 2011 to 2014. The data does not include the amount spent in 2010 on disarmament and demobilisation which was </w:t>
      </w:r>
      <w:r w:rsidR="00BD0543" w:rsidRPr="00225669">
        <w:rPr>
          <w:rFonts w:cs="Arial"/>
          <w:bCs/>
        </w:rPr>
        <w:t>sourced</w:t>
      </w:r>
      <w:r w:rsidRPr="00225669">
        <w:rPr>
          <w:rFonts w:cs="Arial"/>
          <w:bCs/>
        </w:rPr>
        <w:t xml:space="preserve"> from the “Security Vote” of the Office of the President and allocations to the Office of the Special Adviser to the President on Niger Delta Affairs. However, </w:t>
      </w:r>
      <w:r w:rsidRPr="00225669">
        <w:rPr>
          <w:rFonts w:cs="Arial"/>
        </w:rPr>
        <w:t>t</w:t>
      </w:r>
      <w:r w:rsidR="004620A2" w:rsidRPr="00225669">
        <w:rPr>
          <w:rFonts w:cs="Arial"/>
          <w:bCs/>
        </w:rPr>
        <w:t>he purpose of the fund is to achieve security stabilisation as a precondition for intensive development and socio economic activities in the region.</w:t>
      </w:r>
      <w:r w:rsidRPr="00225669">
        <w:rPr>
          <w:rFonts w:cs="Arial"/>
          <w:bCs/>
        </w:rPr>
        <w:t xml:space="preserve"> </w:t>
      </w:r>
      <w:r w:rsidR="00367125" w:rsidRPr="00225669">
        <w:rPr>
          <w:rFonts w:cs="Arial"/>
          <w:bCs/>
        </w:rPr>
        <w:t xml:space="preserve">Table </w:t>
      </w:r>
      <w:r w:rsidR="00BD0543" w:rsidRPr="00225669">
        <w:rPr>
          <w:rFonts w:cs="Arial"/>
          <w:bCs/>
        </w:rPr>
        <w:t>2</w:t>
      </w:r>
      <w:r w:rsidR="004620A2" w:rsidRPr="00225669">
        <w:rPr>
          <w:rFonts w:cs="Arial"/>
          <w:bCs/>
        </w:rPr>
        <w:t xml:space="preserve"> below shows the</w:t>
      </w:r>
      <w:r w:rsidR="00A370DD" w:rsidRPr="00225669">
        <w:rPr>
          <w:rFonts w:cs="Arial"/>
        </w:rPr>
        <w:t xml:space="preserve"> funds allocated to the programme from</w:t>
      </w:r>
      <w:r w:rsidR="00733FE6" w:rsidRPr="00225669">
        <w:rPr>
          <w:rFonts w:cs="Arial"/>
        </w:rPr>
        <w:t xml:space="preserve"> the Federal Government of Nigeria.</w:t>
      </w:r>
    </w:p>
    <w:p w14:paraId="498FBB03" w14:textId="77777777" w:rsidR="00D778A0" w:rsidRPr="00225669" w:rsidRDefault="00D778A0" w:rsidP="00137DFE">
      <w:pPr>
        <w:jc w:val="both"/>
        <w:rPr>
          <w:rFonts w:cs="Arial"/>
        </w:rPr>
      </w:pPr>
    </w:p>
    <w:p w14:paraId="2A062BF9" w14:textId="77777777" w:rsidR="00733FE6" w:rsidRPr="00EB2031" w:rsidRDefault="000A5C78" w:rsidP="00EB2031">
      <w:pPr>
        <w:pStyle w:val="TableList"/>
      </w:pPr>
      <w:bookmarkStart w:id="33" w:name="_Toc311707937"/>
      <w:r w:rsidRPr="00EB2031">
        <w:t>Funds Allocation to Presidential Amnesty Programme</w:t>
      </w:r>
      <w:bookmarkEnd w:id="33"/>
    </w:p>
    <w:tbl>
      <w:tblPr>
        <w:tblStyle w:val="MediumShading1-Accent1"/>
        <w:tblW w:w="0" w:type="auto"/>
        <w:tblLook w:val="0620" w:firstRow="1" w:lastRow="0" w:firstColumn="0" w:lastColumn="0" w:noHBand="1" w:noVBand="1"/>
      </w:tblPr>
      <w:tblGrid>
        <w:gridCol w:w="1242"/>
        <w:gridCol w:w="2653"/>
      </w:tblGrid>
      <w:tr w:rsidR="00BD0543" w:rsidRPr="00225669" w14:paraId="45D28D45" w14:textId="77777777" w:rsidTr="00BD0543">
        <w:trPr>
          <w:cnfStyle w:val="100000000000" w:firstRow="1" w:lastRow="0" w:firstColumn="0" w:lastColumn="0" w:oddVBand="0" w:evenVBand="0" w:oddHBand="0" w:evenHBand="0" w:firstRowFirstColumn="0" w:firstRowLastColumn="0" w:lastRowFirstColumn="0" w:lastRowLastColumn="0"/>
          <w:trHeight w:val="522"/>
        </w:trPr>
        <w:tc>
          <w:tcPr>
            <w:tcW w:w="1242" w:type="dxa"/>
            <w:hideMark/>
          </w:tcPr>
          <w:p w14:paraId="49D1A6AE" w14:textId="77777777" w:rsidR="00BD0543" w:rsidRPr="00225669" w:rsidRDefault="00BD0543" w:rsidP="00E53EA1">
            <w:pPr>
              <w:pStyle w:val="Highlight"/>
            </w:pPr>
            <w:r w:rsidRPr="00225669">
              <w:t>Year</w:t>
            </w:r>
          </w:p>
        </w:tc>
        <w:tc>
          <w:tcPr>
            <w:tcW w:w="2653" w:type="dxa"/>
            <w:hideMark/>
          </w:tcPr>
          <w:p w14:paraId="0AF43609" w14:textId="58DF5543" w:rsidR="00BD0543" w:rsidRPr="00225669" w:rsidRDefault="00BD0543" w:rsidP="00E53EA1">
            <w:pPr>
              <w:pStyle w:val="Highlight"/>
            </w:pPr>
            <w:r w:rsidRPr="00225669">
              <w:t>Total Allocation (N'million)</w:t>
            </w:r>
          </w:p>
        </w:tc>
      </w:tr>
      <w:tr w:rsidR="00BD0543" w:rsidRPr="00225669" w14:paraId="1DABBB26" w14:textId="77777777" w:rsidTr="00BD0543">
        <w:trPr>
          <w:trHeight w:val="267"/>
        </w:trPr>
        <w:tc>
          <w:tcPr>
            <w:tcW w:w="1242" w:type="dxa"/>
            <w:hideMark/>
          </w:tcPr>
          <w:p w14:paraId="39826197" w14:textId="46AC80B8" w:rsidR="00BD0543" w:rsidRPr="00225669" w:rsidRDefault="00BD0543" w:rsidP="00E53EA1">
            <w:pPr>
              <w:pStyle w:val="Highlight"/>
            </w:pPr>
            <w:r w:rsidRPr="00225669">
              <w:t>2010</w:t>
            </w:r>
          </w:p>
        </w:tc>
        <w:tc>
          <w:tcPr>
            <w:tcW w:w="2653" w:type="dxa"/>
            <w:hideMark/>
          </w:tcPr>
          <w:p w14:paraId="59E6A94F" w14:textId="77777777" w:rsidR="00BD0543" w:rsidRPr="00225669" w:rsidRDefault="00BD0543" w:rsidP="00E53EA1">
            <w:pPr>
              <w:pStyle w:val="Highlight"/>
            </w:pPr>
            <w:r w:rsidRPr="00225669">
              <w:t>-</w:t>
            </w:r>
          </w:p>
        </w:tc>
      </w:tr>
      <w:tr w:rsidR="00BD0543" w:rsidRPr="00225669" w14:paraId="0AA61076" w14:textId="77777777" w:rsidTr="00BD0543">
        <w:trPr>
          <w:trHeight w:val="246"/>
        </w:trPr>
        <w:tc>
          <w:tcPr>
            <w:tcW w:w="1242" w:type="dxa"/>
            <w:hideMark/>
          </w:tcPr>
          <w:p w14:paraId="603769AC" w14:textId="77777777" w:rsidR="00BD0543" w:rsidRPr="00225669" w:rsidRDefault="00BD0543" w:rsidP="00E53EA1">
            <w:pPr>
              <w:pStyle w:val="Highlight"/>
            </w:pPr>
            <w:r w:rsidRPr="00225669">
              <w:t>2011</w:t>
            </w:r>
          </w:p>
        </w:tc>
        <w:tc>
          <w:tcPr>
            <w:tcW w:w="2653" w:type="dxa"/>
            <w:hideMark/>
          </w:tcPr>
          <w:p w14:paraId="48DDCAE8" w14:textId="34248802" w:rsidR="00BD0543" w:rsidRPr="00225669" w:rsidRDefault="00BD0543" w:rsidP="00E53EA1">
            <w:pPr>
              <w:pStyle w:val="Highlight"/>
            </w:pPr>
            <w:r w:rsidRPr="00225669">
              <w:t>78,695</w:t>
            </w:r>
          </w:p>
        </w:tc>
      </w:tr>
      <w:tr w:rsidR="00BD0543" w:rsidRPr="00225669" w14:paraId="00C43203" w14:textId="77777777" w:rsidTr="00BD0543">
        <w:trPr>
          <w:trHeight w:val="211"/>
        </w:trPr>
        <w:tc>
          <w:tcPr>
            <w:tcW w:w="1242" w:type="dxa"/>
            <w:hideMark/>
          </w:tcPr>
          <w:p w14:paraId="1FD23139" w14:textId="77777777" w:rsidR="00BD0543" w:rsidRPr="00225669" w:rsidRDefault="00BD0543" w:rsidP="00E53EA1">
            <w:pPr>
              <w:pStyle w:val="Highlight"/>
            </w:pPr>
            <w:r w:rsidRPr="00225669">
              <w:t>2012</w:t>
            </w:r>
          </w:p>
        </w:tc>
        <w:tc>
          <w:tcPr>
            <w:tcW w:w="2653" w:type="dxa"/>
            <w:hideMark/>
          </w:tcPr>
          <w:p w14:paraId="5DB70D94" w14:textId="402BF5D0" w:rsidR="00BD0543" w:rsidRPr="00225669" w:rsidRDefault="00BD0543" w:rsidP="00E53EA1">
            <w:pPr>
              <w:pStyle w:val="Highlight"/>
            </w:pPr>
            <w:r w:rsidRPr="00225669">
              <w:t>66,176</w:t>
            </w:r>
          </w:p>
        </w:tc>
      </w:tr>
      <w:tr w:rsidR="00BD0543" w:rsidRPr="00225669" w14:paraId="0B523470" w14:textId="77777777" w:rsidTr="00BD0543">
        <w:trPr>
          <w:trHeight w:val="278"/>
        </w:trPr>
        <w:tc>
          <w:tcPr>
            <w:tcW w:w="1242" w:type="dxa"/>
            <w:hideMark/>
          </w:tcPr>
          <w:p w14:paraId="01BF44E2" w14:textId="77777777" w:rsidR="00BD0543" w:rsidRPr="00225669" w:rsidRDefault="00BD0543" w:rsidP="00E53EA1">
            <w:pPr>
              <w:pStyle w:val="Highlight"/>
            </w:pPr>
            <w:r w:rsidRPr="00225669">
              <w:t>2013</w:t>
            </w:r>
          </w:p>
        </w:tc>
        <w:tc>
          <w:tcPr>
            <w:tcW w:w="2653" w:type="dxa"/>
            <w:hideMark/>
          </w:tcPr>
          <w:p w14:paraId="21C23087" w14:textId="21BE4BCD" w:rsidR="00BD0543" w:rsidRPr="00225669" w:rsidRDefault="00BD0543" w:rsidP="00E53EA1">
            <w:pPr>
              <w:pStyle w:val="Highlight"/>
            </w:pPr>
            <w:r w:rsidRPr="00225669">
              <w:t>66,781</w:t>
            </w:r>
          </w:p>
        </w:tc>
      </w:tr>
      <w:tr w:rsidR="00BD0543" w:rsidRPr="00225669" w14:paraId="51901E89" w14:textId="77777777" w:rsidTr="00BD0543">
        <w:trPr>
          <w:trHeight w:val="264"/>
        </w:trPr>
        <w:tc>
          <w:tcPr>
            <w:tcW w:w="1242" w:type="dxa"/>
            <w:hideMark/>
          </w:tcPr>
          <w:p w14:paraId="6BB25C87" w14:textId="77777777" w:rsidR="00BD0543" w:rsidRPr="00225669" w:rsidRDefault="00BD0543" w:rsidP="00E53EA1">
            <w:pPr>
              <w:pStyle w:val="Highlight"/>
            </w:pPr>
            <w:r w:rsidRPr="00225669">
              <w:t>2014</w:t>
            </w:r>
          </w:p>
        </w:tc>
        <w:tc>
          <w:tcPr>
            <w:tcW w:w="2653" w:type="dxa"/>
            <w:hideMark/>
          </w:tcPr>
          <w:p w14:paraId="34949334" w14:textId="616F4699" w:rsidR="00BD0543" w:rsidRPr="00225669" w:rsidRDefault="00BD0543" w:rsidP="00E53EA1">
            <w:pPr>
              <w:pStyle w:val="Highlight"/>
            </w:pPr>
            <w:r w:rsidRPr="00225669">
              <w:t>63,281</w:t>
            </w:r>
          </w:p>
        </w:tc>
      </w:tr>
      <w:tr w:rsidR="00BD0543" w:rsidRPr="00225669" w14:paraId="2301D297" w14:textId="77777777" w:rsidTr="00BD0543">
        <w:trPr>
          <w:trHeight w:val="280"/>
        </w:trPr>
        <w:tc>
          <w:tcPr>
            <w:tcW w:w="1242" w:type="dxa"/>
            <w:hideMark/>
          </w:tcPr>
          <w:p w14:paraId="20F04F07" w14:textId="77777777" w:rsidR="00BD0543" w:rsidRPr="00225669" w:rsidRDefault="00BD0543" w:rsidP="00E53EA1">
            <w:pPr>
              <w:pStyle w:val="Highlight"/>
            </w:pPr>
            <w:r w:rsidRPr="00225669">
              <w:t>TOTAL</w:t>
            </w:r>
          </w:p>
        </w:tc>
        <w:tc>
          <w:tcPr>
            <w:tcW w:w="2653" w:type="dxa"/>
            <w:hideMark/>
          </w:tcPr>
          <w:p w14:paraId="3E14908A" w14:textId="04F435E0" w:rsidR="00BD0543" w:rsidRPr="00225669" w:rsidRDefault="00BD0543" w:rsidP="00E53EA1">
            <w:pPr>
              <w:pStyle w:val="Highlight"/>
            </w:pPr>
            <w:r w:rsidRPr="00225669">
              <w:t>274,933</w:t>
            </w:r>
          </w:p>
        </w:tc>
      </w:tr>
    </w:tbl>
    <w:p w14:paraId="17F8B02B" w14:textId="4BE06888" w:rsidR="00D778A0" w:rsidRPr="00225669" w:rsidRDefault="000A5C78" w:rsidP="00137DFE">
      <w:pPr>
        <w:jc w:val="both"/>
        <w:rPr>
          <w:rFonts w:cs="Arial"/>
          <w:sz w:val="22"/>
          <w:szCs w:val="22"/>
        </w:rPr>
      </w:pPr>
      <w:r w:rsidRPr="00225669">
        <w:rPr>
          <w:rFonts w:cs="Arial"/>
          <w:sz w:val="22"/>
          <w:szCs w:val="22"/>
        </w:rPr>
        <w:t xml:space="preserve">Source: Budget </w:t>
      </w:r>
      <w:r w:rsidR="008C2E9C" w:rsidRPr="00225669">
        <w:rPr>
          <w:rFonts w:cs="Arial"/>
          <w:sz w:val="22"/>
          <w:szCs w:val="22"/>
        </w:rPr>
        <w:t xml:space="preserve">Office </w:t>
      </w:r>
      <w:r w:rsidRPr="00225669">
        <w:rPr>
          <w:rFonts w:cs="Arial"/>
          <w:sz w:val="22"/>
          <w:szCs w:val="22"/>
        </w:rPr>
        <w:t>of the Federation</w:t>
      </w:r>
    </w:p>
    <w:p w14:paraId="04CF1098" w14:textId="77777777" w:rsidR="00D778A0" w:rsidRPr="00225669" w:rsidRDefault="00D778A0" w:rsidP="00137DFE">
      <w:pPr>
        <w:jc w:val="both"/>
        <w:rPr>
          <w:rFonts w:cs="Arial"/>
        </w:rPr>
      </w:pPr>
    </w:p>
    <w:p w14:paraId="16BC4B86" w14:textId="77777777" w:rsidR="008E4AA2" w:rsidRPr="00225669" w:rsidRDefault="008E4AA2" w:rsidP="00137DFE">
      <w:pPr>
        <w:pStyle w:val="Heading2"/>
        <w:rPr>
          <w:rFonts w:ascii="Arial" w:hAnsi="Arial" w:cs="Arial"/>
        </w:rPr>
      </w:pPr>
      <w:bookmarkStart w:id="34" w:name="_Toc311709505"/>
      <w:r w:rsidRPr="00225669">
        <w:rPr>
          <w:rFonts w:ascii="Arial" w:hAnsi="Arial" w:cs="Arial"/>
        </w:rPr>
        <w:t>Achievements of the Programme</w:t>
      </w:r>
      <w:bookmarkEnd w:id="34"/>
    </w:p>
    <w:p w14:paraId="50A9FEEA" w14:textId="77777777" w:rsidR="00BF0BE6" w:rsidRPr="00225669" w:rsidRDefault="00BF0BE6" w:rsidP="00137DFE">
      <w:pPr>
        <w:widowControl w:val="0"/>
        <w:autoSpaceDE w:val="0"/>
        <w:autoSpaceDN w:val="0"/>
        <w:adjustRightInd w:val="0"/>
        <w:jc w:val="both"/>
        <w:rPr>
          <w:rFonts w:cs="Arial"/>
        </w:rPr>
      </w:pPr>
      <w:r w:rsidRPr="00225669">
        <w:rPr>
          <w:rFonts w:cs="Arial"/>
        </w:rPr>
        <w:t>Presidential Amnesty Programme has achieved considerable successes in the following areas:</w:t>
      </w:r>
    </w:p>
    <w:p w14:paraId="24A5296E" w14:textId="77777777" w:rsidR="00BF0BE6" w:rsidRPr="00225669" w:rsidRDefault="00BF0BE6" w:rsidP="00137DFE">
      <w:pPr>
        <w:widowControl w:val="0"/>
        <w:autoSpaceDE w:val="0"/>
        <w:autoSpaceDN w:val="0"/>
        <w:adjustRightInd w:val="0"/>
        <w:jc w:val="both"/>
        <w:rPr>
          <w:rFonts w:cs="Arial"/>
        </w:rPr>
      </w:pPr>
    </w:p>
    <w:p w14:paraId="6F33334E" w14:textId="77777777" w:rsidR="00BF0BE6" w:rsidRPr="00225669" w:rsidRDefault="00BF0BE6" w:rsidP="00137DFE">
      <w:pPr>
        <w:widowControl w:val="0"/>
        <w:autoSpaceDE w:val="0"/>
        <w:autoSpaceDN w:val="0"/>
        <w:adjustRightInd w:val="0"/>
        <w:jc w:val="both"/>
        <w:rPr>
          <w:rFonts w:cs="Arial"/>
        </w:rPr>
      </w:pPr>
      <w:r w:rsidRPr="00225669">
        <w:rPr>
          <w:rFonts w:cs="Arial"/>
          <w:color w:val="31849B" w:themeColor="accent5" w:themeShade="BF"/>
        </w:rPr>
        <w:t>Security stabilisation:</w:t>
      </w:r>
      <w:r w:rsidRPr="00225669">
        <w:rPr>
          <w:rFonts w:cs="Arial"/>
        </w:rPr>
        <w:t xml:space="preserve"> The programme achieved its immediate objective of stabilising security conditions in the Niger Delta. Since the commencement of the programme, normalcy has returned to the region and the violent incidences attributable to the militant struggle have ceased. With the exception of politically motivated clashes, the Niger Delta region has remained stable and criminal abductions and kidnappings that were prevalent during the insurgency have greatly reduced. Security conditions still remain fragile due to clashes between government security agents and operators of illegal refineries. Persistent oil theft and pillage of oil installation</w:t>
      </w:r>
      <w:r w:rsidR="006D64C7" w:rsidRPr="00225669">
        <w:rPr>
          <w:rFonts w:cs="Arial"/>
        </w:rPr>
        <w:t>s</w:t>
      </w:r>
      <w:r w:rsidRPr="00225669">
        <w:rPr>
          <w:rFonts w:cs="Arial"/>
        </w:rPr>
        <w:t xml:space="preserve"> reinforces the practice adopted by the ex-agitators in financing their activities and earning rent-income.</w:t>
      </w:r>
    </w:p>
    <w:p w14:paraId="1A442914" w14:textId="77777777" w:rsidR="00BF0BE6" w:rsidRPr="00225669" w:rsidRDefault="00BF0BE6" w:rsidP="00137DFE">
      <w:pPr>
        <w:widowControl w:val="0"/>
        <w:autoSpaceDE w:val="0"/>
        <w:autoSpaceDN w:val="0"/>
        <w:adjustRightInd w:val="0"/>
        <w:jc w:val="both"/>
        <w:rPr>
          <w:rFonts w:cs="Arial"/>
        </w:rPr>
      </w:pPr>
    </w:p>
    <w:p w14:paraId="43E8B3EA" w14:textId="2309E0DF" w:rsidR="00BF0BE6" w:rsidRPr="00225669" w:rsidRDefault="00BF0BE6" w:rsidP="00137DFE">
      <w:pPr>
        <w:widowControl w:val="0"/>
        <w:autoSpaceDE w:val="0"/>
        <w:autoSpaceDN w:val="0"/>
        <w:adjustRightInd w:val="0"/>
        <w:jc w:val="both"/>
        <w:rPr>
          <w:rFonts w:cs="Arial"/>
          <w:b/>
        </w:rPr>
      </w:pPr>
      <w:r w:rsidRPr="00225669">
        <w:rPr>
          <w:rFonts w:cs="Arial"/>
          <w:color w:val="31849B" w:themeColor="accent5" w:themeShade="BF"/>
        </w:rPr>
        <w:t xml:space="preserve">Resumption of oil sector economic </w:t>
      </w:r>
      <w:r w:rsidR="00730059" w:rsidRPr="00225669">
        <w:rPr>
          <w:rFonts w:cs="Arial"/>
          <w:color w:val="31849B" w:themeColor="accent5" w:themeShade="BF"/>
        </w:rPr>
        <w:t>activities:</w:t>
      </w:r>
      <w:r w:rsidR="00730059" w:rsidRPr="00225669">
        <w:rPr>
          <w:rFonts w:cs="Arial"/>
        </w:rPr>
        <w:t xml:space="preserve"> At</w:t>
      </w:r>
      <w:r w:rsidRPr="00225669">
        <w:rPr>
          <w:rFonts w:cs="Arial"/>
        </w:rPr>
        <w:t xml:space="preserve"> the peak of the insurgency, most oil facilities and companies shut down their operation for fear of violent attacks and kidnapping. This resulted in a drop of oil production from 2.6 million barrels per day (bpd) to roughly 0.7 million bpd</w:t>
      </w:r>
      <w:r w:rsidRPr="00225669">
        <w:rPr>
          <w:rStyle w:val="FootnoteReference"/>
          <w:rFonts w:cs="Arial"/>
        </w:rPr>
        <w:footnoteReference w:id="52"/>
      </w:r>
      <w:r w:rsidRPr="00225669">
        <w:rPr>
          <w:rFonts w:cs="Arial"/>
        </w:rPr>
        <w:t xml:space="preserve"> significantly impacting the revenue accruing to Nigeria. </w:t>
      </w:r>
      <w:r w:rsidR="00D66DAF" w:rsidRPr="00225669">
        <w:rPr>
          <w:rFonts w:cs="Arial"/>
        </w:rPr>
        <w:t>T</w:t>
      </w:r>
      <w:r w:rsidRPr="00225669">
        <w:rPr>
          <w:rFonts w:cs="Arial"/>
        </w:rPr>
        <w:t>he Presidential Amnesty Programme helped restore oil production to pre-conflict levels</w:t>
      </w:r>
      <w:r w:rsidR="00034D4E" w:rsidRPr="00225669">
        <w:rPr>
          <w:rFonts w:cs="Arial"/>
        </w:rPr>
        <w:t xml:space="preserve"> although the general decline in </w:t>
      </w:r>
      <w:r w:rsidR="00D66DAF" w:rsidRPr="00225669">
        <w:rPr>
          <w:rFonts w:cs="Arial"/>
        </w:rPr>
        <w:t xml:space="preserve">international </w:t>
      </w:r>
      <w:r w:rsidR="00034D4E" w:rsidRPr="00225669">
        <w:rPr>
          <w:rFonts w:cs="Arial"/>
        </w:rPr>
        <w:t>crude oil demand has reduced oil production to around 2 million bpd</w:t>
      </w:r>
      <w:r w:rsidRPr="00225669">
        <w:rPr>
          <w:rFonts w:cs="Arial"/>
        </w:rPr>
        <w:t>.</w:t>
      </w:r>
    </w:p>
    <w:p w14:paraId="514AF511" w14:textId="77777777" w:rsidR="00BF0BE6" w:rsidRPr="00225669" w:rsidRDefault="00BF0BE6" w:rsidP="00137DFE">
      <w:pPr>
        <w:widowControl w:val="0"/>
        <w:autoSpaceDE w:val="0"/>
        <w:autoSpaceDN w:val="0"/>
        <w:adjustRightInd w:val="0"/>
        <w:jc w:val="both"/>
        <w:rPr>
          <w:rFonts w:cs="Arial"/>
        </w:rPr>
      </w:pPr>
    </w:p>
    <w:p w14:paraId="43A87DF1" w14:textId="77777777" w:rsidR="005B09D8" w:rsidRPr="00225669" w:rsidRDefault="005B09D8" w:rsidP="00137DFE">
      <w:pPr>
        <w:pStyle w:val="Heading2"/>
        <w:rPr>
          <w:rFonts w:ascii="Arial" w:hAnsi="Arial" w:cs="Arial"/>
        </w:rPr>
      </w:pPr>
      <w:bookmarkStart w:id="35" w:name="_Toc311709506"/>
      <w:r w:rsidRPr="00225669">
        <w:rPr>
          <w:rFonts w:ascii="Arial" w:hAnsi="Arial" w:cs="Arial"/>
        </w:rPr>
        <w:t>Real Beneficiaries</w:t>
      </w:r>
      <w:bookmarkEnd w:id="35"/>
    </w:p>
    <w:p w14:paraId="31F46E8D" w14:textId="77777777" w:rsidR="009130A7" w:rsidRPr="00225669" w:rsidRDefault="009130A7" w:rsidP="00137DFE">
      <w:pPr>
        <w:jc w:val="both"/>
        <w:rPr>
          <w:rFonts w:cs="Arial"/>
        </w:rPr>
      </w:pPr>
      <w:r w:rsidRPr="00225669">
        <w:rPr>
          <w:rFonts w:cs="Arial"/>
        </w:rPr>
        <w:t>The beneficiaries from the Presidential Amnesty Programme include the following:</w:t>
      </w:r>
    </w:p>
    <w:p w14:paraId="0941F590" w14:textId="77777777" w:rsidR="009130A7" w:rsidRPr="00225669" w:rsidRDefault="009130A7" w:rsidP="00137DFE">
      <w:pPr>
        <w:jc w:val="both"/>
        <w:rPr>
          <w:rFonts w:cs="Arial"/>
        </w:rPr>
      </w:pPr>
    </w:p>
    <w:p w14:paraId="017F336C" w14:textId="150BCCF5" w:rsidR="00CA23AF" w:rsidRPr="00225669" w:rsidRDefault="009130A7" w:rsidP="00137DFE">
      <w:pPr>
        <w:jc w:val="both"/>
        <w:rPr>
          <w:rFonts w:cs="Arial"/>
        </w:rPr>
      </w:pPr>
      <w:r w:rsidRPr="00225669">
        <w:rPr>
          <w:rFonts w:cs="Arial"/>
          <w:color w:val="31849B" w:themeColor="accent5" w:themeShade="BF"/>
        </w:rPr>
        <w:t xml:space="preserve">Ex-generals for the various militant </w:t>
      </w:r>
      <w:r w:rsidR="00730059" w:rsidRPr="00225669">
        <w:rPr>
          <w:rFonts w:cs="Arial"/>
          <w:color w:val="31849B" w:themeColor="accent5" w:themeShade="BF"/>
        </w:rPr>
        <w:t>groups:</w:t>
      </w:r>
      <w:r w:rsidR="00730059" w:rsidRPr="00225669">
        <w:rPr>
          <w:rFonts w:cs="Arial"/>
        </w:rPr>
        <w:t xml:space="preserve"> </w:t>
      </w:r>
      <w:r w:rsidR="00CA23AF" w:rsidRPr="00225669">
        <w:rPr>
          <w:rFonts w:cs="Arial"/>
        </w:rPr>
        <w:t xml:space="preserve">Many observers have questioned the validity of the </w:t>
      </w:r>
      <w:r w:rsidR="00A05074" w:rsidRPr="00225669">
        <w:rPr>
          <w:rFonts w:cs="Arial"/>
        </w:rPr>
        <w:t xml:space="preserve">purported number of beneficiaries in the Presidential Amnesty Programme. </w:t>
      </w:r>
      <w:r w:rsidR="0020150D" w:rsidRPr="00225669">
        <w:rPr>
          <w:rFonts w:cs="Arial"/>
        </w:rPr>
        <w:t>Most informed observers have alleg</w:t>
      </w:r>
      <w:bookmarkStart w:id="36" w:name="_GoBack"/>
      <w:bookmarkEnd w:id="36"/>
      <w:r w:rsidR="0020150D" w:rsidRPr="00225669">
        <w:rPr>
          <w:rFonts w:cs="Arial"/>
        </w:rPr>
        <w:t>ed that there could not have been up to</w:t>
      </w:r>
      <w:r w:rsidR="00535889" w:rsidRPr="00225669">
        <w:rPr>
          <w:rFonts w:cs="Arial"/>
        </w:rPr>
        <w:t xml:space="preserve"> 30</w:t>
      </w:r>
      <w:r w:rsidR="00CA23AF" w:rsidRPr="00225669">
        <w:rPr>
          <w:rFonts w:cs="Arial"/>
        </w:rPr>
        <w:t xml:space="preserve">,000 ex-militants in the </w:t>
      </w:r>
      <w:r w:rsidR="0020150D" w:rsidRPr="00225669">
        <w:rPr>
          <w:rFonts w:cs="Arial"/>
        </w:rPr>
        <w:t xml:space="preserve">Niger Delta insurgency. For evidence, they posit that the Nigerian Army, which is the largest in Africa, has </w:t>
      </w:r>
      <w:r w:rsidR="0071011F" w:rsidRPr="00225669">
        <w:rPr>
          <w:rFonts w:cs="Arial"/>
        </w:rPr>
        <w:t>only 130,000 active frontline personnel</w:t>
      </w:r>
      <w:r w:rsidR="00A05074" w:rsidRPr="00225669">
        <w:rPr>
          <w:rFonts w:cs="Arial"/>
        </w:rPr>
        <w:t>. There was no process for validating that the names on the list were indeed real human beings and that they were involved in the insurgency. There are no biometric records of the beneficiaries.</w:t>
      </w:r>
    </w:p>
    <w:p w14:paraId="5E6AF74D" w14:textId="77777777" w:rsidR="00CA23AF" w:rsidRPr="00225669" w:rsidRDefault="00CA23AF" w:rsidP="00137DFE">
      <w:pPr>
        <w:jc w:val="both"/>
        <w:rPr>
          <w:rFonts w:cs="Arial"/>
        </w:rPr>
      </w:pPr>
    </w:p>
    <w:p w14:paraId="17A2EA04" w14:textId="2CBE0865" w:rsidR="00A05074" w:rsidRPr="00225669" w:rsidRDefault="0020150D" w:rsidP="00137DFE">
      <w:pPr>
        <w:jc w:val="both"/>
        <w:rPr>
          <w:rFonts w:cs="Arial"/>
        </w:rPr>
      </w:pPr>
      <w:r w:rsidRPr="00225669">
        <w:rPr>
          <w:rFonts w:cs="Arial"/>
        </w:rPr>
        <w:t xml:space="preserve">Each of the programme </w:t>
      </w:r>
      <w:r w:rsidR="00A05074" w:rsidRPr="00225669">
        <w:rPr>
          <w:rFonts w:cs="Arial"/>
        </w:rPr>
        <w:t xml:space="preserve">beneficiaries has received a </w:t>
      </w:r>
      <w:r w:rsidRPr="00225669">
        <w:rPr>
          <w:rFonts w:cs="Arial"/>
        </w:rPr>
        <w:t xml:space="preserve">monthly </w:t>
      </w:r>
      <w:r w:rsidR="00A05074" w:rsidRPr="00225669">
        <w:rPr>
          <w:rFonts w:cs="Arial"/>
        </w:rPr>
        <w:t xml:space="preserve">transitional safety net allowance (TSA) </w:t>
      </w:r>
      <w:r w:rsidRPr="00225669">
        <w:rPr>
          <w:rFonts w:cs="Arial"/>
        </w:rPr>
        <w:t xml:space="preserve">of </w:t>
      </w:r>
      <w:r w:rsidRPr="00225669">
        <w:rPr>
          <w:rFonts w:cs="Arial"/>
          <w:dstrike/>
        </w:rPr>
        <w:t>N</w:t>
      </w:r>
      <w:r w:rsidRPr="00225669">
        <w:rPr>
          <w:rFonts w:cs="Arial"/>
        </w:rPr>
        <w:t xml:space="preserve">65,000 </w:t>
      </w:r>
      <w:r w:rsidR="00A05074" w:rsidRPr="00225669">
        <w:rPr>
          <w:rFonts w:cs="Arial"/>
        </w:rPr>
        <w:t xml:space="preserve">for the duration of the programme. This is a fundamental flaw in the design of the Presidential Amnesty Programme. </w:t>
      </w:r>
      <w:r w:rsidR="00034D4E" w:rsidRPr="00225669">
        <w:rPr>
          <w:rFonts w:cs="Arial"/>
        </w:rPr>
        <w:t xml:space="preserve">In </w:t>
      </w:r>
      <w:r w:rsidRPr="00225669">
        <w:rPr>
          <w:rFonts w:cs="Arial"/>
        </w:rPr>
        <w:t xml:space="preserve">similar </w:t>
      </w:r>
      <w:r w:rsidR="00034D4E" w:rsidRPr="00225669">
        <w:rPr>
          <w:rFonts w:cs="Arial"/>
        </w:rPr>
        <w:t>programmes, the norm is to</w:t>
      </w:r>
      <w:r w:rsidR="00A05074" w:rsidRPr="00225669">
        <w:rPr>
          <w:rFonts w:cs="Arial"/>
        </w:rPr>
        <w:t xml:space="preserve"> pay the Safety Net Allowance once or twice in the period between the disarmament and the demobilisation, hence the “transitional” nature of the payment. The Presidential Amnesty Programme has continued to make these monthly payments since the inception of the programme to date.</w:t>
      </w:r>
    </w:p>
    <w:p w14:paraId="538E76EB" w14:textId="77777777" w:rsidR="00A05074" w:rsidRPr="00225669" w:rsidRDefault="00A05074" w:rsidP="00137DFE">
      <w:pPr>
        <w:jc w:val="both"/>
        <w:rPr>
          <w:rFonts w:cs="Arial"/>
        </w:rPr>
      </w:pPr>
    </w:p>
    <w:p w14:paraId="3A16E08C" w14:textId="0131C2AF" w:rsidR="00034D4E" w:rsidRPr="00225669" w:rsidRDefault="00A05074" w:rsidP="00137DFE">
      <w:pPr>
        <w:jc w:val="both"/>
        <w:rPr>
          <w:rFonts w:cs="Arial"/>
        </w:rPr>
      </w:pPr>
      <w:r w:rsidRPr="00225669">
        <w:rPr>
          <w:rFonts w:cs="Arial"/>
        </w:rPr>
        <w:t xml:space="preserve">Furthermore, the norm is to benchmark the TSA to the </w:t>
      </w:r>
      <w:r w:rsidR="00034D4E" w:rsidRPr="00225669">
        <w:rPr>
          <w:rFonts w:cs="Arial"/>
        </w:rPr>
        <w:t xml:space="preserve">prevailing minimum wage in the country and </w:t>
      </w:r>
      <w:r w:rsidRPr="00225669">
        <w:rPr>
          <w:rFonts w:cs="Arial"/>
        </w:rPr>
        <w:t xml:space="preserve">reference it to </w:t>
      </w:r>
      <w:r w:rsidR="00034D4E" w:rsidRPr="00225669">
        <w:rPr>
          <w:rFonts w:cs="Arial"/>
        </w:rPr>
        <w:t xml:space="preserve">the estimated monthly expenditure covering the basket of needs for an average family in the country. </w:t>
      </w:r>
      <w:r w:rsidRPr="00225669">
        <w:rPr>
          <w:rFonts w:cs="Arial"/>
        </w:rPr>
        <w:t xml:space="preserve">Instead of benchmarking the TSA to </w:t>
      </w:r>
      <w:r w:rsidRPr="00225669">
        <w:rPr>
          <w:rFonts w:cs="Arial"/>
          <w:dstrike/>
        </w:rPr>
        <w:t>N</w:t>
      </w:r>
      <w:r w:rsidRPr="00225669">
        <w:rPr>
          <w:rFonts w:cs="Arial"/>
        </w:rPr>
        <w:t>18,000 (which is the prevailing minimum wage in Nigeria), t</w:t>
      </w:r>
      <w:r w:rsidR="00034D4E" w:rsidRPr="00225669">
        <w:rPr>
          <w:rFonts w:cs="Arial"/>
        </w:rPr>
        <w:t>he Presidential Amnesty Programme set th</w:t>
      </w:r>
      <w:r w:rsidR="0020150D" w:rsidRPr="00225669">
        <w:rPr>
          <w:rFonts w:cs="Arial"/>
        </w:rPr>
        <w:t xml:space="preserve">e TSA </w:t>
      </w:r>
      <w:r w:rsidR="00034D4E" w:rsidRPr="00225669">
        <w:rPr>
          <w:rFonts w:cs="Arial"/>
        </w:rPr>
        <w:t xml:space="preserve">amount at </w:t>
      </w:r>
      <w:r w:rsidRPr="00225669">
        <w:rPr>
          <w:rFonts w:cs="Arial"/>
        </w:rPr>
        <w:t xml:space="preserve">an arbitrary </w:t>
      </w:r>
      <w:r w:rsidR="00034D4E" w:rsidRPr="00225669">
        <w:rPr>
          <w:rFonts w:cs="Arial"/>
          <w:dstrike/>
        </w:rPr>
        <w:t>N</w:t>
      </w:r>
      <w:r w:rsidR="00034D4E" w:rsidRPr="00225669">
        <w:rPr>
          <w:rFonts w:cs="Arial"/>
        </w:rPr>
        <w:t>65,000 per month and has continued to effect this payment for the past five years.</w:t>
      </w:r>
    </w:p>
    <w:p w14:paraId="1C75FABC" w14:textId="77777777" w:rsidR="00034D4E" w:rsidRPr="00225669" w:rsidRDefault="00034D4E" w:rsidP="00137DFE">
      <w:pPr>
        <w:jc w:val="both"/>
        <w:rPr>
          <w:rFonts w:cs="Arial"/>
        </w:rPr>
      </w:pPr>
    </w:p>
    <w:p w14:paraId="7520C09B" w14:textId="43C1B66E" w:rsidR="00034D4E" w:rsidRPr="00225669" w:rsidRDefault="00A05074" w:rsidP="00137DFE">
      <w:pPr>
        <w:jc w:val="both"/>
        <w:rPr>
          <w:rFonts w:cs="Arial"/>
        </w:rPr>
      </w:pPr>
      <w:r w:rsidRPr="00225669">
        <w:rPr>
          <w:rFonts w:cs="Arial"/>
        </w:rPr>
        <w:t xml:space="preserve">Unsubstantiated but popular myth is that the former “Generals” </w:t>
      </w:r>
      <w:r w:rsidR="00954EA9" w:rsidRPr="00225669">
        <w:rPr>
          <w:rFonts w:cs="Arial"/>
        </w:rPr>
        <w:t xml:space="preserve">provided names of people who were not part of the insurgency as beneficiaries of the amnesty programme and the Transitional Safety net Allowance. </w:t>
      </w:r>
      <w:r w:rsidR="0071011F" w:rsidRPr="00225669">
        <w:rPr>
          <w:rFonts w:cs="Arial"/>
        </w:rPr>
        <w:t xml:space="preserve">In response to these allegations, </w:t>
      </w:r>
      <w:r w:rsidR="00954EA9" w:rsidRPr="00225669">
        <w:rPr>
          <w:rFonts w:cs="Arial"/>
        </w:rPr>
        <w:t>Presidential Amnesty Programme attempted to prevent abuse of the system by insisting that all the beneficiaries should have personal bank accounts where the monthly payments would be made. It is believed that those whose bank accounts were used to collect the TSA payment in turn made monthly payments to the Generals.</w:t>
      </w:r>
    </w:p>
    <w:p w14:paraId="68862D02" w14:textId="77777777" w:rsidR="00954EA9" w:rsidRPr="00225669" w:rsidRDefault="00954EA9" w:rsidP="00137DFE">
      <w:pPr>
        <w:jc w:val="both"/>
        <w:rPr>
          <w:rFonts w:cs="Arial"/>
        </w:rPr>
      </w:pPr>
    </w:p>
    <w:p w14:paraId="6EDA06E6" w14:textId="577934E0" w:rsidR="000563EC" w:rsidRPr="00225669" w:rsidRDefault="00954EA9" w:rsidP="00137DFE">
      <w:pPr>
        <w:jc w:val="both"/>
        <w:rPr>
          <w:rFonts w:cs="Arial"/>
        </w:rPr>
      </w:pPr>
      <w:r w:rsidRPr="00225669">
        <w:rPr>
          <w:rFonts w:cs="Arial"/>
        </w:rPr>
        <w:t xml:space="preserve">Beyond the potential abuse of funds, the more fundamental challenge with extant structure is that it inadvertently </w:t>
      </w:r>
      <w:r w:rsidR="000563EC" w:rsidRPr="00225669">
        <w:rPr>
          <w:rFonts w:cs="Arial"/>
        </w:rPr>
        <w:t>reinforced the command structure of the militant groups thereby defeating the strategic objective of demobilisation.</w:t>
      </w:r>
      <w:r w:rsidR="00A64334" w:rsidRPr="00225669">
        <w:rPr>
          <w:rFonts w:cs="Arial"/>
        </w:rPr>
        <w:t xml:space="preserve"> </w:t>
      </w:r>
      <w:r w:rsidRPr="00225669">
        <w:rPr>
          <w:rFonts w:cs="Arial"/>
        </w:rPr>
        <w:t>It is clear to each of the programme delegates that the</w:t>
      </w:r>
      <w:r w:rsidR="00535889" w:rsidRPr="00225669">
        <w:rPr>
          <w:rFonts w:cs="Arial"/>
        </w:rPr>
        <w:t>y</w:t>
      </w:r>
      <w:r w:rsidRPr="00225669">
        <w:rPr>
          <w:rFonts w:cs="Arial"/>
        </w:rPr>
        <w:t xml:space="preserve"> are beneficiaries at the mercy of their militant leader and not necessarily the government of Nigeria. As a result, the allegiances are still in place as they were during the days of the insurgency.</w:t>
      </w:r>
    </w:p>
    <w:p w14:paraId="3D478F34" w14:textId="77777777" w:rsidR="000563EC" w:rsidRPr="00225669" w:rsidRDefault="000563EC" w:rsidP="00137DFE">
      <w:pPr>
        <w:jc w:val="both"/>
        <w:rPr>
          <w:rFonts w:cs="Arial"/>
        </w:rPr>
      </w:pPr>
    </w:p>
    <w:p w14:paraId="7D4D9C39" w14:textId="5090F4FA" w:rsidR="009130A7" w:rsidRPr="00225669" w:rsidRDefault="00A64334" w:rsidP="00137DFE">
      <w:pPr>
        <w:jc w:val="both"/>
        <w:rPr>
          <w:rFonts w:cs="Arial"/>
        </w:rPr>
      </w:pPr>
      <w:r w:rsidRPr="00225669">
        <w:rPr>
          <w:rFonts w:cs="Arial"/>
        </w:rPr>
        <w:t>Also, analysts</w:t>
      </w:r>
      <w:r w:rsidR="00E93A09" w:rsidRPr="00225669">
        <w:rPr>
          <w:rFonts w:cs="Arial"/>
        </w:rPr>
        <w:t xml:space="preserve"> have argued that the political influence of the former generals and high-ranking militants have grown given the resources they now control.</w:t>
      </w:r>
      <w:r w:rsidR="00E93A09" w:rsidRPr="00225669">
        <w:rPr>
          <w:rStyle w:val="FootnoteReference"/>
          <w:rFonts w:cs="Arial"/>
        </w:rPr>
        <w:footnoteReference w:id="53"/>
      </w:r>
      <w:r w:rsidR="007A4ECD" w:rsidRPr="00225669">
        <w:rPr>
          <w:rFonts w:cs="Arial"/>
        </w:rPr>
        <w:t xml:space="preserve"> The leaders of the ex-agitators have become wealthy from various government cont</w:t>
      </w:r>
      <w:r w:rsidR="0071011F" w:rsidRPr="00225669">
        <w:rPr>
          <w:rFonts w:cs="Arial"/>
        </w:rPr>
        <w:t>r</w:t>
      </w:r>
      <w:r w:rsidR="007A4ECD" w:rsidRPr="00225669">
        <w:rPr>
          <w:rFonts w:cs="Arial"/>
        </w:rPr>
        <w:t xml:space="preserve">acts between 2010 and 2015. For instance, according to newspaper reports, in 2012, Nigeria’s Federal Executive Council approved for the Nigerian Maritime Administration and Safety Agency (NIMASA) to award a </w:t>
      </w:r>
      <w:r w:rsidR="00954EA9" w:rsidRPr="00225669">
        <w:rPr>
          <w:rFonts w:cs="Arial"/>
          <w:dstrike/>
        </w:rPr>
        <w:t>N</w:t>
      </w:r>
      <w:r w:rsidR="007A4ECD" w:rsidRPr="00225669">
        <w:rPr>
          <w:rFonts w:cs="Arial"/>
        </w:rPr>
        <w:t>16.8 billion (US$103 million) contract to Global West Vessel Specialists Limited (GWVSL), a company reportedly owned by prominent ex-militant leader, Tompolo. According to Patrick Akpobolokemi, then NIMASA’s director general, the contract was for GWVSL to procure twenty vessels and gather intelligence for fighting maritime crime.</w:t>
      </w:r>
      <w:r w:rsidR="007A4ECD" w:rsidRPr="00225669">
        <w:rPr>
          <w:rStyle w:val="FootnoteReference"/>
          <w:rFonts w:cs="Arial"/>
        </w:rPr>
        <w:footnoteReference w:id="54"/>
      </w:r>
      <w:r w:rsidR="0071011F" w:rsidRPr="00225669">
        <w:rPr>
          <w:rFonts w:cs="Arial"/>
        </w:rPr>
        <w:t xml:space="preserve">  </w:t>
      </w:r>
      <w:r w:rsidRPr="00225669">
        <w:rPr>
          <w:rFonts w:cs="Arial"/>
        </w:rPr>
        <w:t>This excludes the</w:t>
      </w:r>
      <w:r w:rsidR="007A4ECD" w:rsidRPr="00225669">
        <w:rPr>
          <w:rFonts w:cs="Arial"/>
        </w:rPr>
        <w:t xml:space="preserve"> p</w:t>
      </w:r>
      <w:r w:rsidRPr="00225669">
        <w:rPr>
          <w:rFonts w:cs="Arial"/>
        </w:rPr>
        <w:t xml:space="preserve">ipeline security contracts </w:t>
      </w:r>
      <w:r w:rsidR="007A4ECD" w:rsidRPr="00225669">
        <w:rPr>
          <w:rFonts w:cs="Arial"/>
        </w:rPr>
        <w:t>awarded by NNPC to some ex-gene</w:t>
      </w:r>
      <w:r w:rsidRPr="00225669">
        <w:rPr>
          <w:rFonts w:cs="Arial"/>
        </w:rPr>
        <w:t>rals worth millions of dollars.</w:t>
      </w:r>
    </w:p>
    <w:p w14:paraId="256F2AD9" w14:textId="77777777" w:rsidR="009130A7" w:rsidRPr="00225669" w:rsidRDefault="009130A7" w:rsidP="00137DFE">
      <w:pPr>
        <w:jc w:val="both"/>
        <w:rPr>
          <w:rFonts w:cs="Arial"/>
        </w:rPr>
      </w:pPr>
    </w:p>
    <w:p w14:paraId="34CB8F4A" w14:textId="73A05C49" w:rsidR="009130A7" w:rsidRPr="00225669" w:rsidRDefault="00A64334" w:rsidP="00137DFE">
      <w:pPr>
        <w:jc w:val="both"/>
        <w:rPr>
          <w:rFonts w:cs="Arial"/>
        </w:rPr>
      </w:pPr>
      <w:r w:rsidRPr="00225669">
        <w:rPr>
          <w:rFonts w:cs="Arial"/>
          <w:color w:val="31849B" w:themeColor="accent5" w:themeShade="BF"/>
        </w:rPr>
        <w:t>Ex-</w:t>
      </w:r>
      <w:r w:rsidR="00730059" w:rsidRPr="00225669">
        <w:rPr>
          <w:rFonts w:cs="Arial"/>
          <w:color w:val="31849B" w:themeColor="accent5" w:themeShade="BF"/>
        </w:rPr>
        <w:t>militants:</w:t>
      </w:r>
      <w:r w:rsidR="00730059" w:rsidRPr="00225669">
        <w:rPr>
          <w:rFonts w:cs="Arial"/>
        </w:rPr>
        <w:t xml:space="preserve"> </w:t>
      </w:r>
      <w:r w:rsidR="00954EA9" w:rsidRPr="00225669">
        <w:rPr>
          <w:rFonts w:cs="Arial"/>
        </w:rPr>
        <w:t xml:space="preserve">As mentioned above, </w:t>
      </w:r>
      <w:r w:rsidR="00DE206D" w:rsidRPr="00225669">
        <w:rPr>
          <w:rFonts w:cs="Arial"/>
        </w:rPr>
        <w:t>ex-agitators have been</w:t>
      </w:r>
      <w:r w:rsidRPr="00225669">
        <w:rPr>
          <w:rFonts w:cs="Arial"/>
        </w:rPr>
        <w:t xml:space="preserve"> paid monthly stipends of </w:t>
      </w:r>
      <w:r w:rsidRPr="00225669">
        <w:rPr>
          <w:rFonts w:cs="Arial"/>
          <w:dstrike/>
        </w:rPr>
        <w:t>N</w:t>
      </w:r>
      <w:r w:rsidRPr="00225669">
        <w:rPr>
          <w:rFonts w:cs="Arial"/>
        </w:rPr>
        <w:t xml:space="preserve">65,000 </w:t>
      </w:r>
      <w:r w:rsidR="00DE206D" w:rsidRPr="00225669">
        <w:rPr>
          <w:rFonts w:cs="Arial"/>
        </w:rPr>
        <w:t>as Transitional Safety Net Allowances (TSAs), which is almost four times the minimum wage in Nigeria (</w:t>
      </w:r>
      <w:r w:rsidR="00DE206D" w:rsidRPr="00225669">
        <w:rPr>
          <w:rFonts w:cs="Arial"/>
          <w:dstrike/>
        </w:rPr>
        <w:t>N</w:t>
      </w:r>
      <w:r w:rsidR="00C60EB7" w:rsidRPr="00225669">
        <w:rPr>
          <w:rFonts w:cs="Arial"/>
        </w:rPr>
        <w:t>18,000)</w:t>
      </w:r>
      <w:r w:rsidR="00954EA9" w:rsidRPr="00225669">
        <w:rPr>
          <w:rFonts w:cs="Arial"/>
        </w:rPr>
        <w:t xml:space="preserve">. Some of these ex-agitators have been </w:t>
      </w:r>
      <w:r w:rsidR="00DE206D" w:rsidRPr="00225669">
        <w:rPr>
          <w:rFonts w:cs="Arial"/>
        </w:rPr>
        <w:t>placed in various reintegration programmes such as formal education and vocational training programmes, enterprise development, apprenticeship schemes, job placement initiatives etc.</w:t>
      </w:r>
      <w:r w:rsidR="000C29EA" w:rsidRPr="00225669">
        <w:rPr>
          <w:rFonts w:cs="Arial"/>
        </w:rPr>
        <w:t xml:space="preserve"> </w:t>
      </w:r>
      <w:r w:rsidR="00954EA9" w:rsidRPr="00225669">
        <w:rPr>
          <w:rFonts w:cs="Arial"/>
        </w:rPr>
        <w:t xml:space="preserve">In addition to the TSA, a monthly subsistence allowance is paid to the </w:t>
      </w:r>
      <w:r w:rsidR="000C29EA" w:rsidRPr="00225669">
        <w:rPr>
          <w:rFonts w:cs="Arial"/>
        </w:rPr>
        <w:t xml:space="preserve">ex-militants who </w:t>
      </w:r>
      <w:r w:rsidR="00954EA9" w:rsidRPr="00225669">
        <w:rPr>
          <w:rFonts w:cs="Arial"/>
        </w:rPr>
        <w:t xml:space="preserve">have </w:t>
      </w:r>
      <w:r w:rsidR="000C29EA" w:rsidRPr="00225669">
        <w:rPr>
          <w:rFonts w:cs="Arial"/>
        </w:rPr>
        <w:t xml:space="preserve">signed up for </w:t>
      </w:r>
      <w:r w:rsidR="00954EA9" w:rsidRPr="00225669">
        <w:rPr>
          <w:rFonts w:cs="Arial"/>
        </w:rPr>
        <w:t xml:space="preserve">the various </w:t>
      </w:r>
      <w:r w:rsidR="00A20127" w:rsidRPr="00225669">
        <w:rPr>
          <w:rFonts w:cs="Arial"/>
        </w:rPr>
        <w:t xml:space="preserve">academic or vocational </w:t>
      </w:r>
      <w:r w:rsidR="000C29EA" w:rsidRPr="00225669">
        <w:rPr>
          <w:rFonts w:cs="Arial"/>
        </w:rPr>
        <w:t xml:space="preserve">training </w:t>
      </w:r>
      <w:r w:rsidR="00A20127" w:rsidRPr="00225669">
        <w:rPr>
          <w:rFonts w:cs="Arial"/>
        </w:rPr>
        <w:t xml:space="preserve">programmes. Beneficiaries who are in academic institutions in Nigeria receive an additional </w:t>
      </w:r>
      <w:r w:rsidR="00A20127" w:rsidRPr="00225669">
        <w:rPr>
          <w:rFonts w:cs="Arial"/>
          <w:dstrike/>
        </w:rPr>
        <w:t>N</w:t>
      </w:r>
      <w:r w:rsidR="00A20127" w:rsidRPr="00225669">
        <w:rPr>
          <w:rFonts w:cs="Arial"/>
        </w:rPr>
        <w:t xml:space="preserve">25,000 while those in the United Kingdom receive </w:t>
      </w:r>
      <w:r w:rsidR="000C29EA" w:rsidRPr="00225669">
        <w:rPr>
          <w:rFonts w:cs="Arial"/>
        </w:rPr>
        <w:t>GBP500</w:t>
      </w:r>
      <w:r w:rsidR="00A20127" w:rsidRPr="00225669">
        <w:rPr>
          <w:rFonts w:cs="Arial"/>
        </w:rPr>
        <w:t xml:space="preserve">, and the ones in the United States receive </w:t>
      </w:r>
      <w:r w:rsidR="000C29EA" w:rsidRPr="00225669">
        <w:rPr>
          <w:rFonts w:cs="Arial"/>
        </w:rPr>
        <w:t>US$700.</w:t>
      </w:r>
      <w:r w:rsidR="00A20127" w:rsidRPr="00225669">
        <w:rPr>
          <w:rFonts w:cs="Arial"/>
        </w:rPr>
        <w:t xml:space="preserve"> This means that a beneficiary in a Nigerian university receives about </w:t>
      </w:r>
      <w:r w:rsidR="00A20127" w:rsidRPr="00225669">
        <w:rPr>
          <w:rFonts w:cs="Arial"/>
          <w:dstrike/>
        </w:rPr>
        <w:t>N</w:t>
      </w:r>
      <w:r w:rsidR="00A20127" w:rsidRPr="00225669">
        <w:rPr>
          <w:rFonts w:cs="Arial"/>
        </w:rPr>
        <w:t>90,000 every month. This is six times the minimum wage in Nigeria.</w:t>
      </w:r>
    </w:p>
    <w:p w14:paraId="0044D62A" w14:textId="77777777" w:rsidR="009130A7" w:rsidRPr="00225669" w:rsidRDefault="009130A7" w:rsidP="00137DFE">
      <w:pPr>
        <w:jc w:val="both"/>
        <w:rPr>
          <w:rFonts w:cs="Arial"/>
        </w:rPr>
      </w:pPr>
    </w:p>
    <w:p w14:paraId="3AF9975E" w14:textId="5FC1102A" w:rsidR="00D30E16" w:rsidRPr="00225669" w:rsidRDefault="00C60EB7" w:rsidP="001248CF">
      <w:pPr>
        <w:jc w:val="both"/>
        <w:rPr>
          <w:rFonts w:cs="Arial"/>
        </w:rPr>
      </w:pPr>
      <w:r w:rsidRPr="00225669">
        <w:rPr>
          <w:rFonts w:cs="Arial"/>
          <w:color w:val="31849B" w:themeColor="accent5" w:themeShade="BF"/>
        </w:rPr>
        <w:t xml:space="preserve">Youths from impacted </w:t>
      </w:r>
      <w:r w:rsidR="005A4792" w:rsidRPr="00225669">
        <w:rPr>
          <w:rFonts w:cs="Arial"/>
          <w:color w:val="31849B" w:themeColor="accent5" w:themeShade="BF"/>
        </w:rPr>
        <w:t>communities:</w:t>
      </w:r>
      <w:r w:rsidR="005A4792" w:rsidRPr="00225669">
        <w:rPr>
          <w:rFonts w:cs="Arial"/>
        </w:rPr>
        <w:t xml:space="preserve"> </w:t>
      </w:r>
      <w:r w:rsidR="001248CF" w:rsidRPr="00225669">
        <w:rPr>
          <w:rFonts w:cs="Arial"/>
        </w:rPr>
        <w:t>One of the early criticisms of t</w:t>
      </w:r>
      <w:r w:rsidR="005A4792" w:rsidRPr="00225669">
        <w:rPr>
          <w:rFonts w:cs="Arial"/>
        </w:rPr>
        <w:t>he</w:t>
      </w:r>
      <w:r w:rsidRPr="00225669">
        <w:rPr>
          <w:rFonts w:cs="Arial"/>
        </w:rPr>
        <w:t xml:space="preserve"> Presidential Amnesty Programme </w:t>
      </w:r>
      <w:r w:rsidR="001248CF" w:rsidRPr="00225669">
        <w:rPr>
          <w:rFonts w:cs="Arial"/>
        </w:rPr>
        <w:t xml:space="preserve">was that it appeared to reward those who choose violence to express their displeasure with the government to the exclusion of those who, though suffering from the same deprivations, chose not to join the insurgency. In response, the Presidential Amnesty Programme selected and included, in the reintegration </w:t>
      </w:r>
      <w:r w:rsidRPr="00225669">
        <w:rPr>
          <w:rFonts w:cs="Arial"/>
        </w:rPr>
        <w:t>programme</w:t>
      </w:r>
      <w:r w:rsidR="001248CF" w:rsidRPr="00225669">
        <w:rPr>
          <w:rFonts w:cs="Arial"/>
        </w:rPr>
        <w:t>,</w:t>
      </w:r>
      <w:r w:rsidRPr="00225669">
        <w:rPr>
          <w:rFonts w:cs="Arial"/>
        </w:rPr>
        <w:t xml:space="preserve"> 5,000 youths from </w:t>
      </w:r>
      <w:r w:rsidR="001248CF" w:rsidRPr="00225669">
        <w:rPr>
          <w:rFonts w:cs="Arial"/>
        </w:rPr>
        <w:t xml:space="preserve">violence-impacted </w:t>
      </w:r>
      <w:r w:rsidRPr="00225669">
        <w:rPr>
          <w:rFonts w:cs="Arial"/>
        </w:rPr>
        <w:t>communities.</w:t>
      </w:r>
      <w:r w:rsidR="005A4792" w:rsidRPr="00225669">
        <w:rPr>
          <w:rFonts w:cs="Arial"/>
        </w:rPr>
        <w:t xml:space="preserve"> </w:t>
      </w:r>
      <w:r w:rsidR="00101BFF" w:rsidRPr="00225669">
        <w:rPr>
          <w:rFonts w:cs="Arial"/>
        </w:rPr>
        <w:t>Most of the delegates in the academic programmes outside Nigeria are from this group.</w:t>
      </w:r>
    </w:p>
    <w:p w14:paraId="31F48FE6" w14:textId="77777777" w:rsidR="00F17327" w:rsidRPr="00225669" w:rsidRDefault="00F17327" w:rsidP="00137DFE">
      <w:pPr>
        <w:jc w:val="both"/>
        <w:rPr>
          <w:rFonts w:cs="Arial"/>
        </w:rPr>
      </w:pPr>
    </w:p>
    <w:p w14:paraId="2395F183" w14:textId="76E83ADF" w:rsidR="00101BFF" w:rsidRPr="00225669" w:rsidRDefault="0013571C" w:rsidP="00137DFE">
      <w:pPr>
        <w:pStyle w:val="Heading2"/>
        <w:rPr>
          <w:rFonts w:ascii="Arial" w:hAnsi="Arial" w:cs="Arial"/>
        </w:rPr>
      </w:pPr>
      <w:bookmarkStart w:id="37" w:name="_Toc311709507"/>
      <w:r w:rsidRPr="00225669">
        <w:rPr>
          <w:rFonts w:ascii="Arial" w:hAnsi="Arial" w:cs="Arial"/>
        </w:rPr>
        <w:t>Long</w:t>
      </w:r>
      <w:r w:rsidR="00101BFF" w:rsidRPr="00225669">
        <w:rPr>
          <w:rFonts w:ascii="Arial" w:hAnsi="Arial" w:cs="Arial"/>
        </w:rPr>
        <w:t>-Term Political and Economic Implications</w:t>
      </w:r>
      <w:bookmarkEnd w:id="37"/>
    </w:p>
    <w:p w14:paraId="79A1A015" w14:textId="21BC22EF" w:rsidR="00A00DC7" w:rsidRPr="00225669" w:rsidRDefault="00101BFF" w:rsidP="00137DFE">
      <w:pPr>
        <w:jc w:val="both"/>
        <w:rPr>
          <w:rFonts w:cs="Arial"/>
        </w:rPr>
      </w:pPr>
      <w:r w:rsidRPr="00225669">
        <w:rPr>
          <w:rFonts w:cs="Arial"/>
        </w:rPr>
        <w:t>Studies</w:t>
      </w:r>
      <w:r w:rsidR="00F17327" w:rsidRPr="00225669">
        <w:rPr>
          <w:rFonts w:cs="Arial"/>
        </w:rPr>
        <w:t xml:space="preserve"> and assessments of the </w:t>
      </w:r>
      <w:r w:rsidRPr="00225669">
        <w:rPr>
          <w:rFonts w:cs="Arial"/>
        </w:rPr>
        <w:t xml:space="preserve">Presidential </w:t>
      </w:r>
      <w:r w:rsidR="00F17327" w:rsidRPr="00225669">
        <w:rPr>
          <w:rFonts w:cs="Arial"/>
        </w:rPr>
        <w:t xml:space="preserve">Amnesty Programme have </w:t>
      </w:r>
      <w:r w:rsidRPr="00225669">
        <w:rPr>
          <w:rFonts w:cs="Arial"/>
        </w:rPr>
        <w:t xml:space="preserve">focused on </w:t>
      </w:r>
      <w:r w:rsidR="00F17327" w:rsidRPr="00225669">
        <w:rPr>
          <w:rFonts w:cs="Arial"/>
        </w:rPr>
        <w:t>describing the programme and emphasi</w:t>
      </w:r>
      <w:r w:rsidRPr="00225669">
        <w:rPr>
          <w:rFonts w:cs="Arial"/>
        </w:rPr>
        <w:t>s</w:t>
      </w:r>
      <w:r w:rsidR="00F17327" w:rsidRPr="00225669">
        <w:rPr>
          <w:rFonts w:cs="Arial"/>
        </w:rPr>
        <w:t>ing its short-term outcomes.</w:t>
      </w:r>
      <w:r w:rsidR="00F17327" w:rsidRPr="00225669">
        <w:rPr>
          <w:rFonts w:cs="Arial"/>
          <w:vertAlign w:val="superscript"/>
        </w:rPr>
        <w:footnoteReference w:id="55"/>
      </w:r>
      <w:r w:rsidR="0013571C" w:rsidRPr="00225669">
        <w:rPr>
          <w:rFonts w:cs="Arial"/>
        </w:rPr>
        <w:t>.</w:t>
      </w:r>
      <w:r w:rsidRPr="00225669">
        <w:rPr>
          <w:rFonts w:cs="Arial"/>
        </w:rPr>
        <w:t xml:space="preserve"> </w:t>
      </w:r>
      <w:r w:rsidR="00F17327" w:rsidRPr="00225669">
        <w:rPr>
          <w:rFonts w:cs="Arial"/>
        </w:rPr>
        <w:t xml:space="preserve">Far less attention has been paid to the medium to long-term political and economic implications of the </w:t>
      </w:r>
      <w:r w:rsidR="001248CF" w:rsidRPr="00225669">
        <w:rPr>
          <w:rFonts w:cs="Arial"/>
        </w:rPr>
        <w:t>Presidential A</w:t>
      </w:r>
      <w:r w:rsidR="00F17327" w:rsidRPr="00225669">
        <w:rPr>
          <w:rFonts w:cs="Arial"/>
        </w:rPr>
        <w:t xml:space="preserve">mnesty </w:t>
      </w:r>
      <w:r w:rsidR="001248CF" w:rsidRPr="00225669">
        <w:rPr>
          <w:rFonts w:cs="Arial"/>
        </w:rPr>
        <w:t>P</w:t>
      </w:r>
      <w:r w:rsidR="00F17327" w:rsidRPr="00225669">
        <w:rPr>
          <w:rFonts w:cs="Arial"/>
        </w:rPr>
        <w:t xml:space="preserve">rogramme. </w:t>
      </w:r>
      <w:r w:rsidR="001248CF" w:rsidRPr="00225669">
        <w:rPr>
          <w:rFonts w:cs="Arial"/>
        </w:rPr>
        <w:t>Therefore, the</w:t>
      </w:r>
      <w:r w:rsidR="00F17327" w:rsidRPr="00225669">
        <w:rPr>
          <w:rFonts w:cs="Arial"/>
        </w:rPr>
        <w:t xml:space="preserve"> political economy analysis of the </w:t>
      </w:r>
      <w:r w:rsidR="004D4060" w:rsidRPr="00225669">
        <w:rPr>
          <w:rFonts w:cs="Arial"/>
        </w:rPr>
        <w:t xml:space="preserve">Programme </w:t>
      </w:r>
      <w:r w:rsidR="00F17327" w:rsidRPr="00225669">
        <w:rPr>
          <w:rFonts w:cs="Arial"/>
        </w:rPr>
        <w:t>must take cogni</w:t>
      </w:r>
      <w:r w:rsidRPr="00225669">
        <w:rPr>
          <w:rFonts w:cs="Arial"/>
        </w:rPr>
        <w:t>s</w:t>
      </w:r>
      <w:r w:rsidR="001248CF" w:rsidRPr="00225669">
        <w:rPr>
          <w:rFonts w:cs="Arial"/>
        </w:rPr>
        <w:t xml:space="preserve">ance of three things: first, perception that the programme is a political solution to increase oil production; </w:t>
      </w:r>
      <w:r w:rsidR="00631F52" w:rsidRPr="00225669">
        <w:rPr>
          <w:rFonts w:cs="Arial"/>
        </w:rPr>
        <w:t xml:space="preserve">second, </w:t>
      </w:r>
      <w:r w:rsidR="001248CF" w:rsidRPr="00225669">
        <w:rPr>
          <w:rFonts w:cs="Arial"/>
        </w:rPr>
        <w:t xml:space="preserve">concerns that the reintegration programme may not lead to employment; and </w:t>
      </w:r>
      <w:r w:rsidR="00631F52" w:rsidRPr="00225669">
        <w:rPr>
          <w:rFonts w:cs="Arial"/>
        </w:rPr>
        <w:t xml:space="preserve">third, </w:t>
      </w:r>
      <w:r w:rsidR="001248CF" w:rsidRPr="00225669">
        <w:rPr>
          <w:rFonts w:cs="Arial"/>
        </w:rPr>
        <w:t>what would happen to the Programme with the defeat of President Jonathan in the 2015 general elections.</w:t>
      </w:r>
    </w:p>
    <w:p w14:paraId="48874A2D" w14:textId="77777777" w:rsidR="00A00DC7" w:rsidRPr="00225669" w:rsidRDefault="00A00DC7" w:rsidP="00137DFE">
      <w:pPr>
        <w:jc w:val="both"/>
        <w:rPr>
          <w:rFonts w:cs="Arial"/>
        </w:rPr>
      </w:pPr>
    </w:p>
    <w:p w14:paraId="093586A1" w14:textId="42586ADA" w:rsidR="00F17327" w:rsidRPr="00225669" w:rsidRDefault="00631F52" w:rsidP="00137DFE">
      <w:pPr>
        <w:jc w:val="both"/>
        <w:rPr>
          <w:rFonts w:cs="Arial"/>
        </w:rPr>
      </w:pPr>
      <w:r w:rsidRPr="00225669">
        <w:rPr>
          <w:rFonts w:cs="Arial"/>
        </w:rPr>
        <w:t>T</w:t>
      </w:r>
      <w:r w:rsidR="00F17327" w:rsidRPr="00225669">
        <w:rPr>
          <w:rFonts w:cs="Arial"/>
        </w:rPr>
        <w:t>he</w:t>
      </w:r>
      <w:r w:rsidRPr="00225669">
        <w:rPr>
          <w:rFonts w:cs="Arial"/>
        </w:rPr>
        <w:t>re is the</w:t>
      </w:r>
      <w:r w:rsidR="00F17327" w:rsidRPr="00225669">
        <w:rPr>
          <w:rFonts w:cs="Arial"/>
        </w:rPr>
        <w:t xml:space="preserve"> perception in communiti</w:t>
      </w:r>
      <w:r w:rsidRPr="00225669">
        <w:rPr>
          <w:rFonts w:cs="Arial"/>
        </w:rPr>
        <w:t>es in the Niger Delta that the Presidential Amnesty P</w:t>
      </w:r>
      <w:r w:rsidR="00F17327" w:rsidRPr="00225669">
        <w:rPr>
          <w:rFonts w:cs="Arial"/>
        </w:rPr>
        <w:t xml:space="preserve">rogramme is focused on ending attacks on oil production facilities to the neglect of communities and the underlying </w:t>
      </w:r>
      <w:r w:rsidRPr="00225669">
        <w:rPr>
          <w:rFonts w:cs="Arial"/>
        </w:rPr>
        <w:t xml:space="preserve">development </w:t>
      </w:r>
      <w:r w:rsidR="00F17327" w:rsidRPr="00225669">
        <w:rPr>
          <w:rFonts w:cs="Arial"/>
        </w:rPr>
        <w:t xml:space="preserve">problems they face. In other words, the success of the programme will not necessarily depend on the sheer numbers of ex-militants trained, but to the extent to which the vast majority of people in the communities, many of whom were not combatants, perceive that the programme is addressing the underlying </w:t>
      </w:r>
      <w:r w:rsidRPr="00225669">
        <w:rPr>
          <w:rFonts w:cs="Arial"/>
        </w:rPr>
        <w:t xml:space="preserve">development </w:t>
      </w:r>
      <w:r w:rsidR="00F17327" w:rsidRPr="00225669">
        <w:rPr>
          <w:rFonts w:cs="Arial"/>
        </w:rPr>
        <w:t>problems that led to the insurgency in the first place. Many communities still feel that many of the problems still persist and that the entire programme has essentially benefited leaders of the militancy who have won contracts and now live well in Abuja</w:t>
      </w:r>
      <w:r w:rsidR="004D4060" w:rsidRPr="00225669">
        <w:rPr>
          <w:rFonts w:cs="Arial"/>
        </w:rPr>
        <w:t>, London, and other major cities around the world</w:t>
      </w:r>
      <w:r w:rsidR="00F17327" w:rsidRPr="00225669">
        <w:rPr>
          <w:rFonts w:cs="Arial"/>
        </w:rPr>
        <w:t xml:space="preserve">. </w:t>
      </w:r>
      <w:r w:rsidR="00B167D8" w:rsidRPr="00225669">
        <w:rPr>
          <w:rFonts w:cs="Arial"/>
        </w:rPr>
        <w:t>Unfortunately the program</w:t>
      </w:r>
      <w:r w:rsidR="004D4060" w:rsidRPr="00225669">
        <w:rPr>
          <w:rFonts w:cs="Arial"/>
        </w:rPr>
        <w:t>me</w:t>
      </w:r>
      <w:r w:rsidR="00B167D8" w:rsidRPr="00225669">
        <w:rPr>
          <w:rFonts w:cs="Arial"/>
        </w:rPr>
        <w:t xml:space="preserve"> was not designed to address the </w:t>
      </w:r>
      <w:r w:rsidR="004D4060" w:rsidRPr="00225669">
        <w:rPr>
          <w:rFonts w:cs="Arial"/>
        </w:rPr>
        <w:t xml:space="preserve">underlying </w:t>
      </w:r>
      <w:r w:rsidR="00B167D8" w:rsidRPr="00225669">
        <w:rPr>
          <w:rFonts w:cs="Arial"/>
        </w:rPr>
        <w:t>development challenges in the region. Its focus was immediate stabilisation of security condition as precondition for the development of the region</w:t>
      </w:r>
    </w:p>
    <w:p w14:paraId="657A7FA4" w14:textId="77777777" w:rsidR="00F17327" w:rsidRPr="00225669" w:rsidRDefault="00F17327" w:rsidP="00137DFE">
      <w:pPr>
        <w:jc w:val="both"/>
        <w:rPr>
          <w:rFonts w:cs="Arial"/>
        </w:rPr>
      </w:pPr>
    </w:p>
    <w:p w14:paraId="277F966A" w14:textId="35459BC4" w:rsidR="00F17327" w:rsidRPr="00225669" w:rsidRDefault="00F17327" w:rsidP="00137DFE">
      <w:pPr>
        <w:jc w:val="both"/>
        <w:rPr>
          <w:rFonts w:cs="Arial"/>
        </w:rPr>
      </w:pPr>
      <w:r w:rsidRPr="00225669">
        <w:rPr>
          <w:rFonts w:cs="Arial"/>
        </w:rPr>
        <w:t>A</w:t>
      </w:r>
      <w:r w:rsidR="00631F52" w:rsidRPr="00225669">
        <w:rPr>
          <w:rFonts w:cs="Arial"/>
        </w:rPr>
        <w:t xml:space="preserve">nother problem concerns </w:t>
      </w:r>
      <w:r w:rsidRPr="00225669">
        <w:rPr>
          <w:rFonts w:cs="Arial"/>
        </w:rPr>
        <w:t xml:space="preserve">whether the </w:t>
      </w:r>
      <w:r w:rsidR="004D4060" w:rsidRPr="00225669">
        <w:rPr>
          <w:rFonts w:cs="Arial"/>
        </w:rPr>
        <w:t xml:space="preserve">Presidential </w:t>
      </w:r>
      <w:r w:rsidRPr="00225669">
        <w:rPr>
          <w:rFonts w:cs="Arial"/>
        </w:rPr>
        <w:t>Amnesty Programme provides adequate re-integration opportunities for ex-militants after their demobili</w:t>
      </w:r>
      <w:r w:rsidR="004D4060" w:rsidRPr="00225669">
        <w:rPr>
          <w:rFonts w:cs="Arial"/>
        </w:rPr>
        <w:t>s</w:t>
      </w:r>
      <w:r w:rsidRPr="00225669">
        <w:rPr>
          <w:rFonts w:cs="Arial"/>
        </w:rPr>
        <w:t xml:space="preserve">ation and training. If the programme is not able to address the underlying structural problems of the character and </w:t>
      </w:r>
      <w:r w:rsidR="00631F52" w:rsidRPr="00225669">
        <w:rPr>
          <w:rFonts w:cs="Arial"/>
        </w:rPr>
        <w:t xml:space="preserve">the </w:t>
      </w:r>
      <w:r w:rsidRPr="00225669">
        <w:rPr>
          <w:rFonts w:cs="Arial"/>
        </w:rPr>
        <w:t>consequences of the political economy of petroleum in the Niger Delta, there will be inadequate opportunities, particularly gainful employment for the trained militants. Therefore the availability of opportunities to properly integrate the ex-militants into society, particularly providing employment for thos</w:t>
      </w:r>
      <w:r w:rsidR="00631F52" w:rsidRPr="00225669">
        <w:rPr>
          <w:rFonts w:cs="Arial"/>
        </w:rPr>
        <w:t>e who have been trained by the Presidential A</w:t>
      </w:r>
      <w:r w:rsidRPr="00225669">
        <w:rPr>
          <w:rFonts w:cs="Arial"/>
        </w:rPr>
        <w:t xml:space="preserve">mnesty </w:t>
      </w:r>
      <w:r w:rsidR="00631F52" w:rsidRPr="00225669">
        <w:rPr>
          <w:rFonts w:cs="Arial"/>
        </w:rPr>
        <w:t>P</w:t>
      </w:r>
      <w:r w:rsidRPr="00225669">
        <w:rPr>
          <w:rFonts w:cs="Arial"/>
        </w:rPr>
        <w:t xml:space="preserve">rogramme will be central to peace building in the region in the post-amnesty period. This is absolutely crucial considering that the </w:t>
      </w:r>
      <w:r w:rsidR="004D4060" w:rsidRPr="00225669">
        <w:rPr>
          <w:rFonts w:cs="Arial"/>
        </w:rPr>
        <w:t xml:space="preserve">Presidential </w:t>
      </w:r>
      <w:r w:rsidRPr="00225669">
        <w:rPr>
          <w:rFonts w:cs="Arial"/>
        </w:rPr>
        <w:t xml:space="preserve">Amnesty </w:t>
      </w:r>
      <w:r w:rsidR="004D4060" w:rsidRPr="00225669">
        <w:rPr>
          <w:rFonts w:cs="Arial"/>
        </w:rPr>
        <w:t xml:space="preserve">Programme claims </w:t>
      </w:r>
      <w:r w:rsidRPr="00225669">
        <w:rPr>
          <w:rFonts w:cs="Arial"/>
        </w:rPr>
        <w:t>that by the end of 201</w:t>
      </w:r>
      <w:r w:rsidR="000E27EC" w:rsidRPr="00225669">
        <w:rPr>
          <w:rFonts w:cs="Arial"/>
        </w:rPr>
        <w:t>4</w:t>
      </w:r>
      <w:r w:rsidRPr="00225669">
        <w:rPr>
          <w:rFonts w:cs="Arial"/>
        </w:rPr>
        <w:t xml:space="preserve">, </w:t>
      </w:r>
      <w:r w:rsidR="004D4060" w:rsidRPr="00225669">
        <w:rPr>
          <w:rFonts w:cs="Arial"/>
        </w:rPr>
        <w:t xml:space="preserve">only </w:t>
      </w:r>
      <w:r w:rsidRPr="00225669">
        <w:rPr>
          <w:rFonts w:cs="Arial"/>
        </w:rPr>
        <w:t>1</w:t>
      </w:r>
      <w:r w:rsidR="000E27EC" w:rsidRPr="00225669">
        <w:rPr>
          <w:rFonts w:cs="Arial"/>
        </w:rPr>
        <w:t>3</w:t>
      </w:r>
      <w:r w:rsidRPr="00225669">
        <w:rPr>
          <w:rFonts w:cs="Arial"/>
        </w:rPr>
        <w:t xml:space="preserve">,000 ex-militants had </w:t>
      </w:r>
      <w:r w:rsidR="000E27EC" w:rsidRPr="00225669">
        <w:rPr>
          <w:rFonts w:cs="Arial"/>
        </w:rPr>
        <w:t xml:space="preserve">completed their </w:t>
      </w:r>
      <w:r w:rsidRPr="00225669">
        <w:rPr>
          <w:rFonts w:cs="Arial"/>
        </w:rPr>
        <w:t xml:space="preserve">training and </w:t>
      </w:r>
      <w:r w:rsidR="00631F52" w:rsidRPr="00225669">
        <w:rPr>
          <w:rFonts w:cs="Arial"/>
        </w:rPr>
        <w:t xml:space="preserve">are </w:t>
      </w:r>
      <w:r w:rsidRPr="00225669">
        <w:rPr>
          <w:rFonts w:cs="Arial"/>
        </w:rPr>
        <w:t xml:space="preserve">seeking new opportunities of making a living. A great deal therefore depends on a workable plan of reintegration, </w:t>
      </w:r>
      <w:r w:rsidR="004D4060" w:rsidRPr="00225669">
        <w:rPr>
          <w:rFonts w:cs="Arial"/>
        </w:rPr>
        <w:t xml:space="preserve">with a special focus on achieving </w:t>
      </w:r>
      <w:r w:rsidRPr="00225669">
        <w:rPr>
          <w:rFonts w:cs="Arial"/>
        </w:rPr>
        <w:t xml:space="preserve">gainful employment </w:t>
      </w:r>
      <w:r w:rsidR="004D4060" w:rsidRPr="00225669">
        <w:rPr>
          <w:rFonts w:cs="Arial"/>
        </w:rPr>
        <w:t xml:space="preserve">especially for </w:t>
      </w:r>
      <w:r w:rsidRPr="00225669">
        <w:rPr>
          <w:rFonts w:cs="Arial"/>
        </w:rPr>
        <w:t>a region where the unemployment rate is as high as 30</w:t>
      </w:r>
      <w:r w:rsidR="004D4060" w:rsidRPr="00225669">
        <w:rPr>
          <w:rFonts w:cs="Arial"/>
        </w:rPr>
        <w:t xml:space="preserve"> percent.</w:t>
      </w:r>
      <w:r w:rsidR="004D4060" w:rsidRPr="00225669">
        <w:rPr>
          <w:rStyle w:val="FootnoteReference"/>
          <w:rFonts w:cs="Arial"/>
        </w:rPr>
        <w:footnoteReference w:id="56"/>
      </w:r>
    </w:p>
    <w:p w14:paraId="64BA2032" w14:textId="77777777" w:rsidR="00F17327" w:rsidRPr="00225669" w:rsidRDefault="00F17327" w:rsidP="00137DFE">
      <w:pPr>
        <w:jc w:val="both"/>
        <w:rPr>
          <w:rFonts w:cs="Arial"/>
        </w:rPr>
      </w:pPr>
    </w:p>
    <w:p w14:paraId="0FB79094" w14:textId="4EA40A1C" w:rsidR="00F17327" w:rsidRPr="00225669" w:rsidRDefault="00D53681" w:rsidP="00137DFE">
      <w:pPr>
        <w:jc w:val="both"/>
        <w:rPr>
          <w:rFonts w:cs="Arial"/>
        </w:rPr>
      </w:pPr>
      <w:r w:rsidRPr="00225669">
        <w:rPr>
          <w:rFonts w:cs="Arial"/>
        </w:rPr>
        <w:t>There is need for</w:t>
      </w:r>
      <w:r w:rsidR="00F17327" w:rsidRPr="00225669">
        <w:rPr>
          <w:rFonts w:cs="Arial"/>
        </w:rPr>
        <w:t xml:space="preserve"> analysis </w:t>
      </w:r>
      <w:r w:rsidRPr="00225669">
        <w:rPr>
          <w:rFonts w:cs="Arial"/>
        </w:rPr>
        <w:t xml:space="preserve">of </w:t>
      </w:r>
      <w:r w:rsidR="00F17327" w:rsidRPr="00225669">
        <w:rPr>
          <w:rFonts w:cs="Arial"/>
        </w:rPr>
        <w:t xml:space="preserve">what </w:t>
      </w:r>
      <w:r w:rsidRPr="00225669">
        <w:rPr>
          <w:rFonts w:cs="Arial"/>
        </w:rPr>
        <w:t xml:space="preserve">could </w:t>
      </w:r>
      <w:r w:rsidR="00F17327" w:rsidRPr="00225669">
        <w:rPr>
          <w:rFonts w:cs="Arial"/>
        </w:rPr>
        <w:t xml:space="preserve">happens </w:t>
      </w:r>
      <w:r w:rsidRPr="00225669">
        <w:rPr>
          <w:rFonts w:cs="Arial"/>
        </w:rPr>
        <w:t>with</w:t>
      </w:r>
      <w:r w:rsidR="00F17327" w:rsidRPr="00225669">
        <w:rPr>
          <w:rFonts w:cs="Arial"/>
        </w:rPr>
        <w:t xml:space="preserve"> the </w:t>
      </w:r>
      <w:r w:rsidR="00E86463" w:rsidRPr="00225669">
        <w:rPr>
          <w:rFonts w:cs="Arial"/>
        </w:rPr>
        <w:t xml:space="preserve">Presidential </w:t>
      </w:r>
      <w:r w:rsidR="00F17327" w:rsidRPr="00225669">
        <w:rPr>
          <w:rFonts w:cs="Arial"/>
        </w:rPr>
        <w:t xml:space="preserve">Amnesty Programme </w:t>
      </w:r>
      <w:r w:rsidR="00C73DEE" w:rsidRPr="00225669">
        <w:rPr>
          <w:rFonts w:cs="Arial"/>
        </w:rPr>
        <w:t xml:space="preserve">following the defeat </w:t>
      </w:r>
      <w:r w:rsidR="00EC1802" w:rsidRPr="00225669">
        <w:rPr>
          <w:rFonts w:cs="Arial"/>
        </w:rPr>
        <w:t>of President</w:t>
      </w:r>
      <w:r w:rsidR="00F17327" w:rsidRPr="00225669">
        <w:rPr>
          <w:rFonts w:cs="Arial"/>
        </w:rPr>
        <w:t xml:space="preserve"> </w:t>
      </w:r>
      <w:r w:rsidR="00E86463" w:rsidRPr="00225669">
        <w:rPr>
          <w:rFonts w:cs="Arial"/>
        </w:rPr>
        <w:t xml:space="preserve">Goodluck </w:t>
      </w:r>
      <w:r w:rsidR="00F17327" w:rsidRPr="00225669">
        <w:rPr>
          <w:rFonts w:cs="Arial"/>
        </w:rPr>
        <w:t xml:space="preserve">Jonathan in the 2015 </w:t>
      </w:r>
      <w:r w:rsidR="00E86463" w:rsidRPr="00225669">
        <w:rPr>
          <w:rFonts w:cs="Arial"/>
        </w:rPr>
        <w:t xml:space="preserve">general </w:t>
      </w:r>
      <w:r w:rsidR="00F17327" w:rsidRPr="00225669">
        <w:rPr>
          <w:rFonts w:cs="Arial"/>
        </w:rPr>
        <w:t>elections</w:t>
      </w:r>
      <w:r w:rsidR="00C73DEE" w:rsidRPr="00225669">
        <w:rPr>
          <w:rFonts w:cs="Arial"/>
        </w:rPr>
        <w:t xml:space="preserve"> and th</w:t>
      </w:r>
      <w:r w:rsidR="000E27EC" w:rsidRPr="00225669">
        <w:rPr>
          <w:rFonts w:cs="Arial"/>
        </w:rPr>
        <w:t>e</w:t>
      </w:r>
      <w:r w:rsidR="00C73DEE" w:rsidRPr="00225669">
        <w:rPr>
          <w:rFonts w:cs="Arial"/>
        </w:rPr>
        <w:t xml:space="preserve"> announcement by the new administration suggesting closure of the programme in December 2015</w:t>
      </w:r>
      <w:r w:rsidR="00F17327" w:rsidRPr="00225669">
        <w:rPr>
          <w:rFonts w:cs="Arial"/>
        </w:rPr>
        <w:t xml:space="preserve">. Already, the Economic and Financial Crimes Commission (EFCC) is investigating the </w:t>
      </w:r>
      <w:r w:rsidRPr="00225669">
        <w:rPr>
          <w:rFonts w:cs="Arial"/>
        </w:rPr>
        <w:t xml:space="preserve">Presidential </w:t>
      </w:r>
      <w:r w:rsidR="00F17327" w:rsidRPr="00225669">
        <w:rPr>
          <w:rFonts w:cs="Arial"/>
        </w:rPr>
        <w:t xml:space="preserve">Amnesty Programme and its </w:t>
      </w:r>
      <w:r w:rsidRPr="00225669">
        <w:rPr>
          <w:rFonts w:cs="Arial"/>
        </w:rPr>
        <w:t xml:space="preserve">former Chairman, </w:t>
      </w:r>
      <w:r w:rsidR="00F17327" w:rsidRPr="00225669">
        <w:rPr>
          <w:rFonts w:cs="Arial"/>
        </w:rPr>
        <w:t>Mr. Kingsley Kuku</w:t>
      </w:r>
      <w:r w:rsidRPr="00225669">
        <w:rPr>
          <w:rFonts w:cs="Arial"/>
        </w:rPr>
        <w:t>, who</w:t>
      </w:r>
      <w:r w:rsidR="00F17327" w:rsidRPr="00225669">
        <w:rPr>
          <w:rFonts w:cs="Arial"/>
        </w:rPr>
        <w:t xml:space="preserve"> has been summoned to appear for interrogation. Many ex-militants from the Niger Delta perceive that this is the first step in the new government’s plans to disband the </w:t>
      </w:r>
      <w:r w:rsidR="00E86463" w:rsidRPr="00225669">
        <w:rPr>
          <w:rFonts w:cs="Arial"/>
        </w:rPr>
        <w:t>p</w:t>
      </w:r>
      <w:r w:rsidR="00F17327" w:rsidRPr="00225669">
        <w:rPr>
          <w:rFonts w:cs="Arial"/>
        </w:rPr>
        <w:t>rogramme and replace it with a new programme that would include amnesty for Boko Haram fighters. One possib</w:t>
      </w:r>
      <w:r w:rsidR="00EE0DF5" w:rsidRPr="00225669">
        <w:rPr>
          <w:rFonts w:cs="Arial"/>
        </w:rPr>
        <w:t>le</w:t>
      </w:r>
      <w:r w:rsidR="00F17327" w:rsidRPr="00225669">
        <w:rPr>
          <w:rFonts w:cs="Arial"/>
        </w:rPr>
        <w:t xml:space="preserve"> reaction to the defeat of </w:t>
      </w:r>
      <w:r w:rsidR="00E86463" w:rsidRPr="00225669">
        <w:rPr>
          <w:rFonts w:cs="Arial"/>
        </w:rPr>
        <w:t xml:space="preserve">President </w:t>
      </w:r>
      <w:r w:rsidR="00F17327" w:rsidRPr="00225669">
        <w:rPr>
          <w:rFonts w:cs="Arial"/>
        </w:rPr>
        <w:t xml:space="preserve">Jonathan is that ex-militants and new ones in the Niger Delta </w:t>
      </w:r>
      <w:r w:rsidRPr="00225669">
        <w:rPr>
          <w:rFonts w:cs="Arial"/>
        </w:rPr>
        <w:t xml:space="preserve">may </w:t>
      </w:r>
      <w:r w:rsidR="00F17327" w:rsidRPr="00225669">
        <w:rPr>
          <w:rFonts w:cs="Arial"/>
        </w:rPr>
        <w:t>begin to demand more funding and opportunities beyond what the present government can cope with, which could ultimately end up in the renewal of hostilities to hurt the government.</w:t>
      </w:r>
    </w:p>
    <w:p w14:paraId="10322495" w14:textId="77777777" w:rsidR="00B167D8" w:rsidRPr="00225669" w:rsidRDefault="00B167D8" w:rsidP="00137DFE">
      <w:pPr>
        <w:jc w:val="both"/>
        <w:rPr>
          <w:rFonts w:cs="Arial"/>
        </w:rPr>
      </w:pPr>
    </w:p>
    <w:p w14:paraId="0C0F8F19" w14:textId="4546495F" w:rsidR="00F63C7C" w:rsidRPr="00225669" w:rsidRDefault="000E27EC" w:rsidP="00137DFE">
      <w:pPr>
        <w:jc w:val="both"/>
        <w:rPr>
          <w:rFonts w:cs="Arial"/>
        </w:rPr>
      </w:pPr>
      <w:r w:rsidRPr="00225669">
        <w:rPr>
          <w:rFonts w:cs="Arial"/>
        </w:rPr>
        <w:t xml:space="preserve">Instructively one </w:t>
      </w:r>
      <w:r w:rsidR="00B167D8" w:rsidRPr="00225669">
        <w:rPr>
          <w:rFonts w:cs="Arial"/>
        </w:rPr>
        <w:t xml:space="preserve">immediate impact of the amnesty was a marked reduction in attacks on oil installations and the return of oil operations to full capacity. Consequently, the government and oil companies seem to feel that the cost of the peace in the Niger Delta is well worth it. Crude oil production and sales </w:t>
      </w:r>
      <w:r w:rsidR="00E86463" w:rsidRPr="00225669">
        <w:rPr>
          <w:rFonts w:cs="Arial"/>
        </w:rPr>
        <w:t xml:space="preserve">had </w:t>
      </w:r>
      <w:r w:rsidR="00B167D8" w:rsidRPr="00225669">
        <w:rPr>
          <w:rFonts w:cs="Arial"/>
        </w:rPr>
        <w:t xml:space="preserve">risen from an all-time low of </w:t>
      </w:r>
      <w:r w:rsidRPr="00225669">
        <w:rPr>
          <w:rFonts w:cs="Arial"/>
        </w:rPr>
        <w:t>700,000</w:t>
      </w:r>
      <w:r w:rsidR="00B167D8" w:rsidRPr="00225669">
        <w:rPr>
          <w:rFonts w:cs="Arial"/>
        </w:rPr>
        <w:t xml:space="preserve"> barrels per day in 200</w:t>
      </w:r>
      <w:r w:rsidRPr="00225669">
        <w:rPr>
          <w:rFonts w:cs="Arial"/>
        </w:rPr>
        <w:t>9</w:t>
      </w:r>
      <w:r w:rsidR="00B167D8" w:rsidRPr="00225669">
        <w:rPr>
          <w:rFonts w:cs="Arial"/>
        </w:rPr>
        <w:t xml:space="preserve"> to a</w:t>
      </w:r>
      <w:r w:rsidR="00E86463" w:rsidRPr="00225669">
        <w:rPr>
          <w:rFonts w:cs="Arial"/>
        </w:rPr>
        <w:t>bout 2.6 million barrels per day and an average price of US$120 per barrel in 2013.  However, in response to a decline in international demand for crude oil, p</w:t>
      </w:r>
      <w:r w:rsidR="00D53681" w:rsidRPr="00225669">
        <w:rPr>
          <w:rFonts w:cs="Arial"/>
        </w:rPr>
        <w:t>rices have dropped to below US$4</w:t>
      </w:r>
      <w:r w:rsidR="00E86463" w:rsidRPr="00225669">
        <w:rPr>
          <w:rFonts w:cs="Arial"/>
        </w:rPr>
        <w:t>0 and production dropped to an average of 2 million barrels per day.</w:t>
      </w:r>
    </w:p>
    <w:p w14:paraId="770EC103" w14:textId="77777777" w:rsidR="00F63C7C" w:rsidRPr="00225669" w:rsidRDefault="00F63C7C" w:rsidP="00137DFE">
      <w:pPr>
        <w:spacing w:line="360" w:lineRule="auto"/>
        <w:jc w:val="both"/>
        <w:rPr>
          <w:rFonts w:cs="Arial"/>
        </w:rPr>
        <w:sectPr w:rsidR="00F63C7C" w:rsidRPr="00225669" w:rsidSect="00F64331">
          <w:pgSz w:w="11900" w:h="16840"/>
          <w:pgMar w:top="1134" w:right="1418" w:bottom="1134" w:left="1418" w:header="709" w:footer="709" w:gutter="0"/>
          <w:cols w:space="708"/>
          <w:titlePg/>
          <w:docGrid w:linePitch="360"/>
        </w:sectPr>
      </w:pPr>
    </w:p>
    <w:p w14:paraId="0CEE7EB4" w14:textId="77777777" w:rsidR="003074FC" w:rsidRPr="00225669" w:rsidRDefault="003074FC" w:rsidP="00AF131C">
      <w:pPr>
        <w:pStyle w:val="Heading1"/>
      </w:pPr>
      <w:bookmarkStart w:id="38" w:name="_Toc311709508"/>
      <w:r w:rsidRPr="00225669">
        <w:t>Stakeholder Analysis</w:t>
      </w:r>
      <w:bookmarkEnd w:id="38"/>
    </w:p>
    <w:p w14:paraId="347F6C59" w14:textId="25B86FF6" w:rsidR="000B6AF6" w:rsidRPr="00225669" w:rsidRDefault="00084BA4" w:rsidP="00137DFE">
      <w:pPr>
        <w:pStyle w:val="Summary"/>
      </w:pPr>
      <w:r w:rsidRPr="00225669">
        <w:t>This chapter describes the critical stakeholders in the Niger Delta region</w:t>
      </w:r>
      <w:r w:rsidR="001E064C" w:rsidRPr="00225669">
        <w:t xml:space="preserve"> and their power and interest ratings </w:t>
      </w:r>
      <w:r w:rsidR="000903DF" w:rsidRPr="00225669">
        <w:t xml:space="preserve">with </w:t>
      </w:r>
      <w:r w:rsidR="001E064C" w:rsidRPr="00225669">
        <w:t>regards to security stabilisation and development of the Niger Delta region.</w:t>
      </w:r>
    </w:p>
    <w:p w14:paraId="176C6B93" w14:textId="77777777" w:rsidR="006354DB" w:rsidRPr="00225669" w:rsidRDefault="006354DB" w:rsidP="00137DFE">
      <w:pPr>
        <w:widowControl w:val="0"/>
        <w:autoSpaceDE w:val="0"/>
        <w:autoSpaceDN w:val="0"/>
        <w:adjustRightInd w:val="0"/>
        <w:jc w:val="both"/>
        <w:rPr>
          <w:rFonts w:cs="Arial"/>
          <w:sz w:val="22"/>
        </w:rPr>
      </w:pPr>
    </w:p>
    <w:p w14:paraId="3567A6B1" w14:textId="77777777" w:rsidR="00196972" w:rsidRPr="00225669" w:rsidRDefault="00332A04" w:rsidP="00137DFE">
      <w:pPr>
        <w:pStyle w:val="Heading2"/>
        <w:rPr>
          <w:rFonts w:ascii="Arial" w:hAnsi="Arial" w:cs="Arial"/>
        </w:rPr>
      </w:pPr>
      <w:bookmarkStart w:id="39" w:name="_Toc311709509"/>
      <w:r w:rsidRPr="00225669">
        <w:rPr>
          <w:rFonts w:ascii="Arial" w:hAnsi="Arial" w:cs="Arial"/>
        </w:rPr>
        <w:t>Description of Critical Stakeholders in the Niger Delta</w:t>
      </w:r>
      <w:bookmarkEnd w:id="39"/>
    </w:p>
    <w:p w14:paraId="6472A84B" w14:textId="5D0CC787" w:rsidR="00332A04" w:rsidRPr="00225669" w:rsidRDefault="00EF1057" w:rsidP="00137DFE">
      <w:pPr>
        <w:jc w:val="both"/>
        <w:rPr>
          <w:rFonts w:cs="Arial"/>
        </w:rPr>
      </w:pPr>
      <w:r w:rsidRPr="00225669">
        <w:rPr>
          <w:rFonts w:cs="Arial"/>
        </w:rPr>
        <w:t>Table 4 below shows the power and interest rating of the critical stakeholders in the Niger Delta region towards security stabili</w:t>
      </w:r>
      <w:r w:rsidR="007279D8" w:rsidRPr="00225669">
        <w:rPr>
          <w:rFonts w:cs="Arial"/>
        </w:rPr>
        <w:t>s</w:t>
      </w:r>
      <w:r w:rsidRPr="00225669">
        <w:rPr>
          <w:rFonts w:cs="Arial"/>
        </w:rPr>
        <w:t>ation and development of the region.</w:t>
      </w:r>
      <w:r w:rsidR="00002DF0" w:rsidRPr="00225669">
        <w:rPr>
          <w:rFonts w:cs="Arial"/>
        </w:rPr>
        <w:t xml:space="preserve"> The rating is on a scale of 0 to 10. (</w:t>
      </w:r>
      <w:r w:rsidR="002A3426" w:rsidRPr="00225669">
        <w:rPr>
          <w:rFonts w:cs="Arial"/>
        </w:rPr>
        <w:t>0</w:t>
      </w:r>
      <w:r w:rsidR="00767286" w:rsidRPr="00225669">
        <w:rPr>
          <w:rFonts w:cs="Arial"/>
        </w:rPr>
        <w:t>-4= Low, 5-6=Medium, 7-10= High</w:t>
      </w:r>
      <w:r w:rsidR="002A3426" w:rsidRPr="00225669">
        <w:rPr>
          <w:rFonts w:cs="Arial"/>
        </w:rPr>
        <w:t>).</w:t>
      </w:r>
      <w:r w:rsidR="007279D8" w:rsidRPr="00225669">
        <w:rPr>
          <w:rFonts w:cs="Arial"/>
        </w:rPr>
        <w:t xml:space="preserve"> The scores are based on the authors understanding of the principal actors and the region.</w:t>
      </w:r>
    </w:p>
    <w:p w14:paraId="1DAF36D7" w14:textId="77777777" w:rsidR="002A3426" w:rsidRPr="00225669" w:rsidRDefault="002A3426" w:rsidP="00137DFE">
      <w:pPr>
        <w:jc w:val="both"/>
        <w:rPr>
          <w:rFonts w:cs="Arial"/>
        </w:rPr>
      </w:pPr>
    </w:p>
    <w:p w14:paraId="1BBB43B3" w14:textId="7903F83D" w:rsidR="006819A6" w:rsidRPr="00225669" w:rsidRDefault="0045676F" w:rsidP="00EB2031">
      <w:pPr>
        <w:pStyle w:val="TableList"/>
      </w:pPr>
      <w:bookmarkStart w:id="40" w:name="_Toc311707938"/>
      <w:r w:rsidRPr="00225669">
        <w:t>Power and Interest Rating of Stakeholder</w:t>
      </w:r>
      <w:r w:rsidR="00E83533" w:rsidRPr="00225669">
        <w:t>s in the Niger Delta</w:t>
      </w:r>
      <w:bookmarkEnd w:id="40"/>
    </w:p>
    <w:tbl>
      <w:tblPr>
        <w:tblW w:w="0" w:type="auto"/>
        <w:tblInd w:w="-34" w:type="dxa"/>
        <w:tblLayout w:type="fixed"/>
        <w:tblLook w:val="04A0" w:firstRow="1" w:lastRow="0" w:firstColumn="1" w:lastColumn="0" w:noHBand="0" w:noVBand="1"/>
      </w:tblPr>
      <w:tblGrid>
        <w:gridCol w:w="568"/>
        <w:gridCol w:w="2126"/>
        <w:gridCol w:w="850"/>
        <w:gridCol w:w="993"/>
        <w:gridCol w:w="10285"/>
      </w:tblGrid>
      <w:tr w:rsidR="004C4A79" w:rsidRPr="00225669" w14:paraId="34731582" w14:textId="77777777" w:rsidTr="00E5576D">
        <w:trPr>
          <w:trHeight w:val="67"/>
        </w:trPr>
        <w:tc>
          <w:tcPr>
            <w:tcW w:w="568" w:type="dxa"/>
            <w:tcBorders>
              <w:top w:val="single" w:sz="18" w:space="0" w:color="auto"/>
              <w:left w:val="single" w:sz="18" w:space="0" w:color="auto"/>
              <w:bottom w:val="single" w:sz="18" w:space="0" w:color="auto"/>
              <w:right w:val="single" w:sz="4" w:space="0" w:color="auto"/>
            </w:tcBorders>
            <w:shd w:val="clear" w:color="000000" w:fill="31849B" w:themeFill="accent5" w:themeFillShade="BF"/>
            <w:hideMark/>
          </w:tcPr>
          <w:p w14:paraId="44394EC4" w14:textId="77777777" w:rsidR="004C4A79" w:rsidRPr="00225669" w:rsidRDefault="004C4A79" w:rsidP="001B2A40">
            <w:pPr>
              <w:jc w:val="both"/>
              <w:rPr>
                <w:rFonts w:eastAsia="Times New Roman" w:cs="Arial"/>
                <w:b/>
                <w:color w:val="FFFFFF" w:themeColor="background1"/>
                <w:sz w:val="20"/>
                <w:szCs w:val="20"/>
              </w:rPr>
            </w:pPr>
            <w:r w:rsidRPr="00225669">
              <w:rPr>
                <w:rFonts w:eastAsia="Times New Roman" w:cs="Arial"/>
                <w:b/>
                <w:color w:val="FFFFFF" w:themeColor="background1"/>
                <w:sz w:val="20"/>
                <w:szCs w:val="20"/>
              </w:rPr>
              <w:t>S/N</w:t>
            </w:r>
          </w:p>
        </w:tc>
        <w:tc>
          <w:tcPr>
            <w:tcW w:w="2126" w:type="dxa"/>
            <w:tcBorders>
              <w:top w:val="single" w:sz="18" w:space="0" w:color="auto"/>
              <w:left w:val="single" w:sz="4" w:space="0" w:color="auto"/>
              <w:bottom w:val="single" w:sz="18" w:space="0" w:color="auto"/>
              <w:right w:val="single" w:sz="4" w:space="0" w:color="auto"/>
            </w:tcBorders>
            <w:shd w:val="clear" w:color="000000" w:fill="31849B" w:themeFill="accent5" w:themeFillShade="BF"/>
            <w:hideMark/>
          </w:tcPr>
          <w:p w14:paraId="658F8646" w14:textId="77777777" w:rsidR="004C4A79" w:rsidRPr="00225669" w:rsidRDefault="004C4A79" w:rsidP="001B2A40">
            <w:pPr>
              <w:jc w:val="both"/>
              <w:rPr>
                <w:rFonts w:eastAsia="Times New Roman" w:cs="Arial"/>
                <w:b/>
                <w:color w:val="FFFFFF" w:themeColor="background1"/>
                <w:sz w:val="20"/>
                <w:szCs w:val="20"/>
              </w:rPr>
            </w:pPr>
            <w:r w:rsidRPr="00225669">
              <w:rPr>
                <w:rFonts w:eastAsia="Times New Roman" w:cs="Arial"/>
                <w:b/>
                <w:color w:val="FFFFFF" w:themeColor="background1"/>
                <w:sz w:val="20"/>
                <w:szCs w:val="20"/>
              </w:rPr>
              <w:t>Critical Stakeholders in the Niger Delta</w:t>
            </w:r>
          </w:p>
        </w:tc>
        <w:tc>
          <w:tcPr>
            <w:tcW w:w="850" w:type="dxa"/>
            <w:tcBorders>
              <w:top w:val="single" w:sz="18" w:space="0" w:color="auto"/>
              <w:left w:val="single" w:sz="4" w:space="0" w:color="auto"/>
              <w:bottom w:val="single" w:sz="18" w:space="0" w:color="auto"/>
              <w:right w:val="single" w:sz="4" w:space="0" w:color="auto"/>
            </w:tcBorders>
            <w:shd w:val="clear" w:color="000000" w:fill="31849B" w:themeFill="accent5" w:themeFillShade="BF"/>
            <w:hideMark/>
          </w:tcPr>
          <w:p w14:paraId="4E1F19CC" w14:textId="77777777" w:rsidR="004C4A79" w:rsidRPr="00225669" w:rsidRDefault="004C4A79" w:rsidP="004C4A79">
            <w:pPr>
              <w:jc w:val="center"/>
              <w:rPr>
                <w:rFonts w:eastAsia="Times New Roman" w:cs="Arial"/>
                <w:b/>
                <w:color w:val="FFFFFF" w:themeColor="background1"/>
                <w:sz w:val="20"/>
                <w:szCs w:val="20"/>
              </w:rPr>
            </w:pPr>
            <w:r w:rsidRPr="00225669">
              <w:rPr>
                <w:rFonts w:eastAsia="Times New Roman" w:cs="Arial"/>
                <w:b/>
                <w:color w:val="FFFFFF" w:themeColor="background1"/>
                <w:sz w:val="20"/>
                <w:szCs w:val="20"/>
              </w:rPr>
              <w:t>Power (0-10)</w:t>
            </w:r>
          </w:p>
        </w:tc>
        <w:tc>
          <w:tcPr>
            <w:tcW w:w="993" w:type="dxa"/>
            <w:tcBorders>
              <w:top w:val="single" w:sz="18" w:space="0" w:color="auto"/>
              <w:left w:val="single" w:sz="4" w:space="0" w:color="auto"/>
              <w:bottom w:val="single" w:sz="18" w:space="0" w:color="auto"/>
              <w:right w:val="single" w:sz="4" w:space="0" w:color="auto"/>
            </w:tcBorders>
            <w:shd w:val="clear" w:color="000000" w:fill="31849B" w:themeFill="accent5" w:themeFillShade="BF"/>
            <w:hideMark/>
          </w:tcPr>
          <w:p w14:paraId="1A2D964E" w14:textId="77777777" w:rsidR="004C4A79" w:rsidRPr="00225669" w:rsidRDefault="004C4A79" w:rsidP="004C4A79">
            <w:pPr>
              <w:jc w:val="center"/>
              <w:rPr>
                <w:rFonts w:eastAsia="Times New Roman" w:cs="Arial"/>
                <w:b/>
                <w:color w:val="FFFFFF" w:themeColor="background1"/>
                <w:sz w:val="20"/>
                <w:szCs w:val="20"/>
              </w:rPr>
            </w:pPr>
            <w:r w:rsidRPr="00225669">
              <w:rPr>
                <w:rFonts w:eastAsia="Times New Roman" w:cs="Arial"/>
                <w:b/>
                <w:color w:val="FFFFFF" w:themeColor="background1"/>
                <w:sz w:val="20"/>
                <w:szCs w:val="20"/>
              </w:rPr>
              <w:t>Interest (0-10)</w:t>
            </w:r>
          </w:p>
        </w:tc>
        <w:tc>
          <w:tcPr>
            <w:tcW w:w="10285" w:type="dxa"/>
            <w:tcBorders>
              <w:top w:val="single" w:sz="18" w:space="0" w:color="auto"/>
              <w:left w:val="single" w:sz="4" w:space="0" w:color="auto"/>
              <w:bottom w:val="single" w:sz="18" w:space="0" w:color="auto"/>
              <w:right w:val="single" w:sz="18" w:space="0" w:color="auto"/>
            </w:tcBorders>
            <w:shd w:val="clear" w:color="000000" w:fill="31849B" w:themeFill="accent5" w:themeFillShade="BF"/>
            <w:hideMark/>
          </w:tcPr>
          <w:p w14:paraId="61EBF717" w14:textId="77777777" w:rsidR="004C4A79" w:rsidRPr="00225669" w:rsidRDefault="004C4A79" w:rsidP="001B2A40">
            <w:pPr>
              <w:jc w:val="both"/>
              <w:rPr>
                <w:rFonts w:eastAsia="Times New Roman" w:cs="Arial"/>
                <w:b/>
                <w:color w:val="FFFFFF" w:themeColor="background1"/>
                <w:sz w:val="20"/>
                <w:szCs w:val="20"/>
              </w:rPr>
            </w:pPr>
            <w:r w:rsidRPr="00225669">
              <w:rPr>
                <w:rFonts w:eastAsia="Times New Roman" w:cs="Arial"/>
                <w:b/>
                <w:color w:val="FFFFFF" w:themeColor="background1"/>
                <w:sz w:val="20"/>
                <w:szCs w:val="20"/>
              </w:rPr>
              <w:t>Comments</w:t>
            </w:r>
          </w:p>
        </w:tc>
      </w:tr>
      <w:tr w:rsidR="004C4A79" w:rsidRPr="00225669" w14:paraId="2A62795F" w14:textId="77777777" w:rsidTr="00E5576D">
        <w:trPr>
          <w:trHeight w:val="286"/>
        </w:trPr>
        <w:tc>
          <w:tcPr>
            <w:tcW w:w="568" w:type="dxa"/>
            <w:tcBorders>
              <w:top w:val="single" w:sz="18" w:space="0" w:color="auto"/>
              <w:left w:val="single" w:sz="18" w:space="0" w:color="auto"/>
              <w:bottom w:val="single" w:sz="4" w:space="0" w:color="auto"/>
              <w:right w:val="single" w:sz="4" w:space="0" w:color="auto"/>
            </w:tcBorders>
            <w:shd w:val="clear" w:color="000000" w:fill="FFFFFF"/>
            <w:hideMark/>
          </w:tcPr>
          <w:p w14:paraId="3E0CE22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1</w:t>
            </w:r>
          </w:p>
        </w:tc>
        <w:tc>
          <w:tcPr>
            <w:tcW w:w="2126" w:type="dxa"/>
            <w:tcBorders>
              <w:top w:val="single" w:sz="18" w:space="0" w:color="auto"/>
              <w:left w:val="single" w:sz="4" w:space="0" w:color="auto"/>
              <w:bottom w:val="single" w:sz="4" w:space="0" w:color="auto"/>
            </w:tcBorders>
            <w:shd w:val="clear" w:color="000000" w:fill="FFFFFF"/>
            <w:hideMark/>
          </w:tcPr>
          <w:p w14:paraId="0F4C1E40"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Federal Government of Nigeria </w:t>
            </w:r>
          </w:p>
        </w:tc>
        <w:tc>
          <w:tcPr>
            <w:tcW w:w="850" w:type="dxa"/>
            <w:tcBorders>
              <w:top w:val="single" w:sz="18" w:space="0" w:color="auto"/>
              <w:bottom w:val="single" w:sz="4" w:space="0" w:color="auto"/>
            </w:tcBorders>
            <w:shd w:val="clear" w:color="000000" w:fill="FFFFFF"/>
            <w:hideMark/>
          </w:tcPr>
          <w:p w14:paraId="7631464D"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8</w:t>
            </w:r>
          </w:p>
        </w:tc>
        <w:tc>
          <w:tcPr>
            <w:tcW w:w="993" w:type="dxa"/>
            <w:tcBorders>
              <w:top w:val="single" w:sz="18" w:space="0" w:color="auto"/>
              <w:bottom w:val="single" w:sz="4" w:space="0" w:color="auto"/>
              <w:right w:val="single" w:sz="4" w:space="0" w:color="auto"/>
            </w:tcBorders>
            <w:shd w:val="clear" w:color="000000" w:fill="FFFFFF"/>
            <w:hideMark/>
          </w:tcPr>
          <w:p w14:paraId="5B62FBFF"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9</w:t>
            </w:r>
          </w:p>
        </w:tc>
        <w:tc>
          <w:tcPr>
            <w:tcW w:w="10285" w:type="dxa"/>
            <w:tcBorders>
              <w:top w:val="single" w:sz="18" w:space="0" w:color="auto"/>
              <w:left w:val="single" w:sz="4" w:space="0" w:color="auto"/>
              <w:bottom w:val="single" w:sz="4" w:space="0" w:color="auto"/>
              <w:right w:val="single" w:sz="18" w:space="0" w:color="auto"/>
            </w:tcBorders>
            <w:shd w:val="clear" w:color="000000" w:fill="FFFFFF"/>
            <w:hideMark/>
          </w:tcPr>
          <w:p w14:paraId="7F6A4192" w14:textId="7F76C649"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The </w:t>
            </w:r>
            <w:r w:rsidR="001B2A40" w:rsidRPr="00225669">
              <w:rPr>
                <w:rFonts w:eastAsia="Times New Roman" w:cs="Arial"/>
                <w:color w:val="000000"/>
                <w:sz w:val="20"/>
                <w:szCs w:val="20"/>
              </w:rPr>
              <w:t>Federal Government of Nigeria (</w:t>
            </w:r>
            <w:r w:rsidRPr="00225669">
              <w:rPr>
                <w:rFonts w:eastAsia="Times New Roman" w:cs="Arial"/>
                <w:color w:val="000000"/>
                <w:sz w:val="20"/>
                <w:szCs w:val="20"/>
              </w:rPr>
              <w:t>FGN</w:t>
            </w:r>
            <w:r w:rsidR="001B2A40" w:rsidRPr="00225669">
              <w:rPr>
                <w:rFonts w:eastAsia="Times New Roman" w:cs="Arial"/>
                <w:color w:val="000000"/>
                <w:sz w:val="20"/>
                <w:szCs w:val="20"/>
              </w:rPr>
              <w:t>)</w:t>
            </w:r>
            <w:r w:rsidRPr="00225669">
              <w:rPr>
                <w:rFonts w:eastAsia="Times New Roman" w:cs="Arial"/>
                <w:color w:val="000000"/>
                <w:sz w:val="20"/>
                <w:szCs w:val="20"/>
              </w:rPr>
              <w:t xml:space="preserve"> possesses ample power to influence decisions and allocate resources in the Niger Delta region. Resources are allocated through taxes, royalties, and equity income it receives from the oil companies and decides on their distribution among Federal, State, and Local Governments. The FGN has a high interest in the se</w:t>
            </w:r>
            <w:r w:rsidR="001B2A40" w:rsidRPr="00225669">
              <w:rPr>
                <w:rFonts w:eastAsia="Times New Roman" w:cs="Arial"/>
                <w:color w:val="000000"/>
                <w:sz w:val="20"/>
                <w:szCs w:val="20"/>
              </w:rPr>
              <w:t>curity stabilis</w:t>
            </w:r>
            <w:r w:rsidRPr="00225669">
              <w:rPr>
                <w:rFonts w:eastAsia="Times New Roman" w:cs="Arial"/>
                <w:color w:val="000000"/>
                <w:sz w:val="20"/>
                <w:szCs w:val="20"/>
              </w:rPr>
              <w:t>ation and develop</w:t>
            </w:r>
            <w:r w:rsidR="001B2A40" w:rsidRPr="00225669">
              <w:rPr>
                <w:rFonts w:eastAsia="Times New Roman" w:cs="Arial"/>
                <w:color w:val="000000"/>
                <w:sz w:val="20"/>
                <w:szCs w:val="20"/>
              </w:rPr>
              <w:t xml:space="preserve">ment of the Niger Delta region </w:t>
            </w:r>
            <w:r w:rsidRPr="00225669">
              <w:rPr>
                <w:rFonts w:eastAsia="Times New Roman" w:cs="Arial"/>
                <w:color w:val="000000"/>
                <w:sz w:val="20"/>
                <w:szCs w:val="20"/>
              </w:rPr>
              <w:t xml:space="preserve">as a stable Niger Delta region provides the resources required for national development and </w:t>
            </w:r>
            <w:r w:rsidR="001B2A40" w:rsidRPr="00225669">
              <w:rPr>
                <w:rFonts w:eastAsia="Times New Roman" w:cs="Arial"/>
                <w:color w:val="000000"/>
                <w:sz w:val="20"/>
                <w:szCs w:val="20"/>
              </w:rPr>
              <w:t xml:space="preserve">required to </w:t>
            </w:r>
            <w:r w:rsidRPr="00225669">
              <w:rPr>
                <w:rFonts w:eastAsia="Times New Roman" w:cs="Arial"/>
                <w:color w:val="000000"/>
                <w:sz w:val="20"/>
                <w:szCs w:val="20"/>
              </w:rPr>
              <w:t xml:space="preserve">effectively respond to </w:t>
            </w:r>
            <w:r w:rsidR="001B2A40" w:rsidRPr="00225669">
              <w:rPr>
                <w:rFonts w:eastAsia="Times New Roman" w:cs="Arial"/>
                <w:color w:val="000000"/>
                <w:sz w:val="20"/>
                <w:szCs w:val="20"/>
              </w:rPr>
              <w:t>specific challenges, for instance, the</w:t>
            </w:r>
            <w:r w:rsidRPr="00225669">
              <w:rPr>
                <w:rFonts w:eastAsia="Times New Roman" w:cs="Arial"/>
                <w:color w:val="000000"/>
                <w:sz w:val="20"/>
                <w:szCs w:val="20"/>
              </w:rPr>
              <w:t xml:space="preserve"> crisis in the </w:t>
            </w:r>
            <w:r w:rsidR="001B2A40" w:rsidRPr="00225669">
              <w:rPr>
                <w:rFonts w:eastAsia="Times New Roman" w:cs="Arial"/>
                <w:color w:val="000000"/>
                <w:sz w:val="20"/>
                <w:szCs w:val="20"/>
              </w:rPr>
              <w:t>N</w:t>
            </w:r>
            <w:r w:rsidRPr="00225669">
              <w:rPr>
                <w:rFonts w:eastAsia="Times New Roman" w:cs="Arial"/>
                <w:color w:val="000000"/>
                <w:sz w:val="20"/>
                <w:szCs w:val="20"/>
              </w:rPr>
              <w:t>orth</w:t>
            </w:r>
            <w:r w:rsidR="001B2A40" w:rsidRPr="00225669">
              <w:rPr>
                <w:rFonts w:eastAsia="Times New Roman" w:cs="Arial"/>
                <w:color w:val="000000"/>
                <w:sz w:val="20"/>
                <w:szCs w:val="20"/>
              </w:rPr>
              <w:t xml:space="preserve"> E</w:t>
            </w:r>
            <w:r w:rsidRPr="00225669">
              <w:rPr>
                <w:rFonts w:eastAsia="Times New Roman" w:cs="Arial"/>
                <w:color w:val="000000"/>
                <w:sz w:val="20"/>
                <w:szCs w:val="20"/>
              </w:rPr>
              <w:t>ast</w:t>
            </w:r>
            <w:r w:rsidR="001B2A40" w:rsidRPr="00225669">
              <w:rPr>
                <w:rFonts w:eastAsia="Times New Roman" w:cs="Arial"/>
                <w:color w:val="000000"/>
                <w:sz w:val="20"/>
                <w:szCs w:val="20"/>
              </w:rPr>
              <w:t xml:space="preserve"> region.</w:t>
            </w:r>
          </w:p>
        </w:tc>
      </w:tr>
      <w:tr w:rsidR="004C4A79" w:rsidRPr="00225669" w14:paraId="24C17813" w14:textId="77777777" w:rsidTr="00E5576D">
        <w:trPr>
          <w:trHeight w:val="166"/>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1ED70AC1" w14:textId="338834DC"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1a</w:t>
            </w:r>
          </w:p>
        </w:tc>
        <w:tc>
          <w:tcPr>
            <w:tcW w:w="2126" w:type="dxa"/>
            <w:tcBorders>
              <w:top w:val="single" w:sz="4" w:space="0" w:color="auto"/>
              <w:left w:val="single" w:sz="4" w:space="0" w:color="auto"/>
              <w:bottom w:val="single" w:sz="4" w:space="0" w:color="auto"/>
            </w:tcBorders>
            <w:shd w:val="clear" w:color="000000" w:fill="FFFFFF"/>
          </w:tcPr>
          <w:p w14:paraId="3AC44E67" w14:textId="420304C5" w:rsidR="004C4A79" w:rsidRPr="00225669" w:rsidRDefault="00A6675D" w:rsidP="001B2A40">
            <w:pPr>
              <w:jc w:val="both"/>
              <w:rPr>
                <w:rFonts w:eastAsia="Times New Roman" w:cs="Arial"/>
                <w:color w:val="000000"/>
                <w:sz w:val="20"/>
                <w:szCs w:val="20"/>
              </w:rPr>
            </w:pPr>
            <w:r w:rsidRPr="00225669">
              <w:rPr>
                <w:rFonts w:eastAsia="Times New Roman" w:cs="Arial"/>
                <w:color w:val="000000"/>
                <w:sz w:val="20"/>
                <w:szCs w:val="20"/>
              </w:rPr>
              <w:t xml:space="preserve">The </w:t>
            </w:r>
            <w:r w:rsidR="00B22173" w:rsidRPr="00225669">
              <w:rPr>
                <w:rFonts w:eastAsia="Times New Roman" w:cs="Arial"/>
                <w:color w:val="000000"/>
                <w:sz w:val="20"/>
                <w:szCs w:val="20"/>
              </w:rPr>
              <w:t>President</w:t>
            </w:r>
          </w:p>
        </w:tc>
        <w:tc>
          <w:tcPr>
            <w:tcW w:w="850" w:type="dxa"/>
            <w:tcBorders>
              <w:top w:val="single" w:sz="4" w:space="0" w:color="auto"/>
              <w:bottom w:val="single" w:sz="4" w:space="0" w:color="auto"/>
            </w:tcBorders>
            <w:shd w:val="clear" w:color="000000" w:fill="FFFFFF"/>
          </w:tcPr>
          <w:p w14:paraId="1800996A"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6A0A42BC"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20EDC38F" w14:textId="76D1FBEA" w:rsidR="00F9259B"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President </w:t>
            </w:r>
            <w:r w:rsidR="001B2A40" w:rsidRPr="00225669">
              <w:rPr>
                <w:rFonts w:eastAsia="Times New Roman" w:cs="Arial"/>
                <w:color w:val="000000"/>
                <w:sz w:val="20"/>
                <w:szCs w:val="20"/>
              </w:rPr>
              <w:t xml:space="preserve">Mohammadu </w:t>
            </w:r>
            <w:r w:rsidRPr="00225669">
              <w:rPr>
                <w:rFonts w:eastAsia="Times New Roman" w:cs="Arial"/>
                <w:color w:val="000000"/>
                <w:sz w:val="20"/>
                <w:szCs w:val="20"/>
              </w:rPr>
              <w:t>Buhari</w:t>
            </w:r>
            <w:r w:rsidR="001B2A40" w:rsidRPr="00225669">
              <w:rPr>
                <w:rFonts w:eastAsia="Times New Roman" w:cs="Arial"/>
                <w:color w:val="000000"/>
                <w:sz w:val="20"/>
                <w:szCs w:val="20"/>
              </w:rPr>
              <w:t xml:space="preserve"> came to power in the May 2015 general elections with a </w:t>
            </w:r>
            <w:r w:rsidR="00F9259B" w:rsidRPr="00225669">
              <w:rPr>
                <w:rFonts w:eastAsia="Times New Roman" w:cs="Arial"/>
                <w:color w:val="000000"/>
                <w:sz w:val="20"/>
                <w:szCs w:val="20"/>
              </w:rPr>
              <w:t>clear mandate from Nigerians desiring a change to the way the country was being managed. He promised to fight corruption and there are lots of expectations that this fight would include the management of the funds allocated to the Niger Delta region.</w:t>
            </w:r>
          </w:p>
          <w:p w14:paraId="6CC2A914" w14:textId="77777777" w:rsidR="00F9259B" w:rsidRPr="00225669" w:rsidRDefault="00F9259B" w:rsidP="001B2A40">
            <w:pPr>
              <w:jc w:val="both"/>
              <w:rPr>
                <w:rFonts w:eastAsia="Times New Roman" w:cs="Arial"/>
                <w:color w:val="000000"/>
                <w:sz w:val="20"/>
                <w:szCs w:val="20"/>
              </w:rPr>
            </w:pPr>
          </w:p>
          <w:p w14:paraId="6F6EC073" w14:textId="77777777" w:rsidR="00F9259B" w:rsidRPr="00225669" w:rsidRDefault="00F9259B" w:rsidP="00F9259B">
            <w:pPr>
              <w:jc w:val="both"/>
              <w:rPr>
                <w:rFonts w:eastAsia="Times New Roman" w:cs="Arial"/>
                <w:color w:val="000000"/>
                <w:sz w:val="20"/>
                <w:szCs w:val="20"/>
              </w:rPr>
            </w:pPr>
            <w:r w:rsidRPr="00225669">
              <w:rPr>
                <w:rFonts w:eastAsia="Times New Roman" w:cs="Arial"/>
                <w:color w:val="000000"/>
                <w:sz w:val="20"/>
                <w:szCs w:val="20"/>
              </w:rPr>
              <w:t xml:space="preserve">President Buhari is considered to be </w:t>
            </w:r>
            <w:r w:rsidR="004C4A79" w:rsidRPr="00225669">
              <w:rPr>
                <w:rFonts w:eastAsia="Times New Roman" w:cs="Arial"/>
                <w:color w:val="000000"/>
                <w:sz w:val="20"/>
                <w:szCs w:val="20"/>
              </w:rPr>
              <w:t xml:space="preserve">highly principled and </w:t>
            </w:r>
            <w:r w:rsidRPr="00225669">
              <w:rPr>
                <w:rFonts w:eastAsia="Times New Roman" w:cs="Arial"/>
                <w:color w:val="000000"/>
                <w:sz w:val="20"/>
                <w:szCs w:val="20"/>
              </w:rPr>
              <w:t xml:space="preserve">could be </w:t>
            </w:r>
            <w:r w:rsidR="004C4A79" w:rsidRPr="00225669">
              <w:rPr>
                <w:rFonts w:eastAsia="Times New Roman" w:cs="Arial"/>
                <w:color w:val="000000"/>
                <w:sz w:val="20"/>
                <w:szCs w:val="20"/>
              </w:rPr>
              <w:t xml:space="preserve">inflexible </w:t>
            </w:r>
            <w:r w:rsidRPr="00225669">
              <w:rPr>
                <w:rFonts w:eastAsia="Times New Roman" w:cs="Arial"/>
                <w:color w:val="000000"/>
                <w:sz w:val="20"/>
                <w:szCs w:val="20"/>
              </w:rPr>
              <w:t>in his convictions.  Nigerians expect that he would bring the power of his will to resolve a number of the challenges with fund management across Nigeria.</w:t>
            </w:r>
          </w:p>
          <w:p w14:paraId="72C46804" w14:textId="77777777" w:rsidR="00F9259B" w:rsidRPr="00225669" w:rsidRDefault="00F9259B" w:rsidP="00F9259B">
            <w:pPr>
              <w:jc w:val="both"/>
              <w:rPr>
                <w:rFonts w:eastAsia="Times New Roman" w:cs="Arial"/>
                <w:color w:val="000000"/>
                <w:sz w:val="20"/>
                <w:szCs w:val="20"/>
              </w:rPr>
            </w:pPr>
          </w:p>
          <w:p w14:paraId="5AD2E29E" w14:textId="7CE0E8AA" w:rsidR="00F9259B" w:rsidRPr="00225669" w:rsidRDefault="00F9259B" w:rsidP="00F9259B">
            <w:pPr>
              <w:jc w:val="both"/>
              <w:rPr>
                <w:rFonts w:eastAsia="Times New Roman" w:cs="Arial"/>
                <w:color w:val="000000"/>
                <w:sz w:val="20"/>
                <w:szCs w:val="20"/>
              </w:rPr>
            </w:pPr>
            <w:r w:rsidRPr="00225669">
              <w:rPr>
                <w:rFonts w:eastAsia="Times New Roman" w:cs="Arial"/>
                <w:color w:val="000000"/>
                <w:sz w:val="20"/>
                <w:szCs w:val="20"/>
              </w:rPr>
              <w:t xml:space="preserve">However, he has </w:t>
            </w:r>
            <w:r w:rsidR="004C4A79" w:rsidRPr="00225669">
              <w:rPr>
                <w:rFonts w:eastAsia="Times New Roman" w:cs="Arial"/>
                <w:color w:val="000000"/>
                <w:sz w:val="20"/>
                <w:szCs w:val="20"/>
              </w:rPr>
              <w:t xml:space="preserve">made some negative comments about the </w:t>
            </w:r>
            <w:r w:rsidRPr="00225669">
              <w:rPr>
                <w:rFonts w:eastAsia="Times New Roman" w:cs="Arial"/>
                <w:color w:val="000000"/>
                <w:sz w:val="20"/>
                <w:szCs w:val="20"/>
              </w:rPr>
              <w:t>Niger Delta region. In response to a question during a recent visit the United States, he indicated that he would focus his programme more in the regions that gave him most of his votes. Many in the Niger Delta region interpreted the statement to mean that he would not prioritise their issues.</w:t>
            </w:r>
          </w:p>
          <w:p w14:paraId="128B163D" w14:textId="77777777" w:rsidR="00F9259B" w:rsidRPr="00225669" w:rsidRDefault="00F9259B" w:rsidP="00F9259B">
            <w:pPr>
              <w:jc w:val="both"/>
              <w:rPr>
                <w:rFonts w:eastAsia="Times New Roman" w:cs="Arial"/>
                <w:color w:val="000000"/>
                <w:sz w:val="20"/>
                <w:szCs w:val="20"/>
              </w:rPr>
            </w:pPr>
          </w:p>
          <w:p w14:paraId="1300E77C" w14:textId="77AB3F88" w:rsidR="00F9259B" w:rsidRPr="00225669" w:rsidRDefault="00F9259B" w:rsidP="00F9259B">
            <w:pPr>
              <w:jc w:val="both"/>
              <w:rPr>
                <w:rFonts w:eastAsia="Times New Roman" w:cs="Arial"/>
                <w:color w:val="000000"/>
                <w:sz w:val="20"/>
                <w:szCs w:val="20"/>
              </w:rPr>
            </w:pPr>
            <w:r w:rsidRPr="00225669">
              <w:rPr>
                <w:rFonts w:eastAsia="Times New Roman" w:cs="Arial"/>
                <w:color w:val="000000"/>
                <w:sz w:val="20"/>
                <w:szCs w:val="20"/>
              </w:rPr>
              <w:t xml:space="preserve">Contrary to this belief, President Buhari </w:t>
            </w:r>
            <w:r w:rsidR="00A71550" w:rsidRPr="00225669">
              <w:rPr>
                <w:rFonts w:eastAsia="Times New Roman" w:cs="Arial"/>
                <w:color w:val="000000"/>
                <w:sz w:val="20"/>
                <w:szCs w:val="20"/>
              </w:rPr>
              <w:t>has</w:t>
            </w:r>
            <w:r w:rsidRPr="00225669">
              <w:rPr>
                <w:rFonts w:eastAsia="Times New Roman" w:cs="Arial"/>
                <w:color w:val="000000"/>
                <w:sz w:val="20"/>
                <w:szCs w:val="20"/>
              </w:rPr>
              <w:t xml:space="preserve"> </w:t>
            </w:r>
            <w:r w:rsidR="004C4A79" w:rsidRPr="00225669">
              <w:rPr>
                <w:rFonts w:eastAsia="Times New Roman" w:cs="Arial"/>
                <w:color w:val="000000"/>
                <w:sz w:val="20"/>
                <w:szCs w:val="20"/>
              </w:rPr>
              <w:t xml:space="preserve">shown commitment to the region by keeping to his campaign promises of </w:t>
            </w:r>
            <w:r w:rsidRPr="00225669">
              <w:rPr>
                <w:rFonts w:eastAsia="Times New Roman" w:cs="Arial"/>
                <w:color w:val="000000"/>
                <w:sz w:val="20"/>
                <w:szCs w:val="20"/>
              </w:rPr>
              <w:t xml:space="preserve">instituting a clean up of the environmental degradation in the </w:t>
            </w:r>
            <w:r w:rsidR="004C4A79" w:rsidRPr="00225669">
              <w:rPr>
                <w:rFonts w:eastAsia="Times New Roman" w:cs="Arial"/>
                <w:color w:val="000000"/>
                <w:sz w:val="20"/>
                <w:szCs w:val="20"/>
              </w:rPr>
              <w:t xml:space="preserve">Niger Delta </w:t>
            </w:r>
            <w:r w:rsidRPr="00225669">
              <w:rPr>
                <w:rFonts w:eastAsia="Times New Roman" w:cs="Arial"/>
                <w:color w:val="000000"/>
                <w:sz w:val="20"/>
                <w:szCs w:val="20"/>
              </w:rPr>
              <w:t xml:space="preserve">region. He has made a public proclamation that the </w:t>
            </w:r>
            <w:r w:rsidR="004C4A79" w:rsidRPr="00225669">
              <w:rPr>
                <w:rFonts w:eastAsia="Times New Roman" w:cs="Arial"/>
                <w:color w:val="000000"/>
                <w:sz w:val="20"/>
                <w:szCs w:val="20"/>
              </w:rPr>
              <w:t xml:space="preserve">Hydrocarbon Pollution Restoration Project (HYPREP) </w:t>
            </w:r>
            <w:r w:rsidRPr="00225669">
              <w:rPr>
                <w:rFonts w:eastAsia="Times New Roman" w:cs="Arial"/>
                <w:color w:val="000000"/>
                <w:sz w:val="20"/>
                <w:szCs w:val="20"/>
              </w:rPr>
              <w:t xml:space="preserve">will be implemented </w:t>
            </w:r>
            <w:r w:rsidR="004C4A79" w:rsidRPr="00225669">
              <w:rPr>
                <w:rFonts w:eastAsia="Times New Roman" w:cs="Arial"/>
                <w:color w:val="000000"/>
                <w:sz w:val="20"/>
                <w:szCs w:val="20"/>
              </w:rPr>
              <w:t>as recommended by the United Nation</w:t>
            </w:r>
            <w:r w:rsidRPr="00225669">
              <w:rPr>
                <w:rFonts w:eastAsia="Times New Roman" w:cs="Arial"/>
                <w:color w:val="000000"/>
                <w:sz w:val="20"/>
                <w:szCs w:val="20"/>
              </w:rPr>
              <w:t>s Environment Programme (UNEP). He appointed a new Chairman for the Presidential Amnesty Programme and the government has continued to pay the various allowances to the beneficiaries of the programme.</w:t>
            </w:r>
          </w:p>
          <w:p w14:paraId="08EFF30C" w14:textId="77777777" w:rsidR="00F9259B" w:rsidRPr="00225669" w:rsidRDefault="00F9259B" w:rsidP="00F9259B">
            <w:pPr>
              <w:jc w:val="both"/>
              <w:rPr>
                <w:rFonts w:eastAsia="Times New Roman" w:cs="Arial"/>
                <w:color w:val="000000"/>
                <w:sz w:val="20"/>
                <w:szCs w:val="20"/>
              </w:rPr>
            </w:pPr>
          </w:p>
          <w:p w14:paraId="26AF0E39" w14:textId="1E8358FC" w:rsidR="004C4A79" w:rsidRPr="00225669" w:rsidRDefault="004C4A79" w:rsidP="00226AD8">
            <w:pPr>
              <w:jc w:val="both"/>
              <w:rPr>
                <w:rFonts w:eastAsia="Times New Roman" w:cs="Arial"/>
                <w:color w:val="000000"/>
                <w:sz w:val="20"/>
                <w:szCs w:val="20"/>
              </w:rPr>
            </w:pPr>
            <w:r w:rsidRPr="00225669">
              <w:rPr>
                <w:rFonts w:eastAsia="Times New Roman" w:cs="Arial"/>
                <w:color w:val="000000"/>
                <w:sz w:val="20"/>
                <w:szCs w:val="20"/>
              </w:rPr>
              <w:t xml:space="preserve">The President’s position on the Niger Delta is likely to remain positive to the development of the region considering the strategic importance of the region and the need to avoid multi-regional insurgency and instability. </w:t>
            </w:r>
            <w:r w:rsidR="00226AD8" w:rsidRPr="00225669">
              <w:rPr>
                <w:rFonts w:eastAsia="Times New Roman" w:cs="Arial"/>
                <w:color w:val="000000"/>
                <w:sz w:val="20"/>
                <w:szCs w:val="20"/>
              </w:rPr>
              <w:t xml:space="preserve">The Buhari administration needs </w:t>
            </w:r>
            <w:r w:rsidRPr="00225669">
              <w:rPr>
                <w:rFonts w:eastAsia="Times New Roman" w:cs="Arial"/>
                <w:color w:val="000000"/>
                <w:sz w:val="20"/>
                <w:szCs w:val="20"/>
              </w:rPr>
              <w:t xml:space="preserve">a stable Niger Delta in the face of the intransigent insurgency in </w:t>
            </w:r>
            <w:r w:rsidR="00226AD8" w:rsidRPr="00225669">
              <w:rPr>
                <w:rFonts w:eastAsia="Times New Roman" w:cs="Arial"/>
                <w:color w:val="000000"/>
                <w:sz w:val="20"/>
                <w:szCs w:val="20"/>
              </w:rPr>
              <w:t>N</w:t>
            </w:r>
            <w:r w:rsidRPr="00225669">
              <w:rPr>
                <w:rFonts w:eastAsia="Times New Roman" w:cs="Arial"/>
                <w:color w:val="000000"/>
                <w:sz w:val="20"/>
                <w:szCs w:val="20"/>
              </w:rPr>
              <w:t>orth</w:t>
            </w:r>
            <w:r w:rsidR="00226AD8" w:rsidRPr="00225669">
              <w:rPr>
                <w:rFonts w:eastAsia="Times New Roman" w:cs="Arial"/>
                <w:color w:val="000000"/>
                <w:sz w:val="20"/>
                <w:szCs w:val="20"/>
              </w:rPr>
              <w:t xml:space="preserve"> E</w:t>
            </w:r>
            <w:r w:rsidRPr="00225669">
              <w:rPr>
                <w:rFonts w:eastAsia="Times New Roman" w:cs="Arial"/>
                <w:color w:val="000000"/>
                <w:sz w:val="20"/>
                <w:szCs w:val="20"/>
              </w:rPr>
              <w:t>ast</w:t>
            </w:r>
            <w:r w:rsidR="00226AD8" w:rsidRPr="00225669">
              <w:rPr>
                <w:rFonts w:eastAsia="Times New Roman" w:cs="Arial"/>
                <w:color w:val="000000"/>
                <w:sz w:val="20"/>
                <w:szCs w:val="20"/>
              </w:rPr>
              <w:t xml:space="preserve">, </w:t>
            </w:r>
            <w:r w:rsidRPr="00225669">
              <w:rPr>
                <w:rFonts w:eastAsia="Times New Roman" w:cs="Arial"/>
                <w:color w:val="000000"/>
                <w:sz w:val="20"/>
                <w:szCs w:val="20"/>
              </w:rPr>
              <w:t>Nigeria.</w:t>
            </w:r>
          </w:p>
        </w:tc>
      </w:tr>
      <w:tr w:rsidR="004C4A79" w:rsidRPr="00225669" w14:paraId="419F64B6" w14:textId="77777777" w:rsidTr="00E5576D">
        <w:trPr>
          <w:trHeight w:val="267"/>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2D2842CD" w14:textId="24BD303A"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1b</w:t>
            </w:r>
          </w:p>
        </w:tc>
        <w:tc>
          <w:tcPr>
            <w:tcW w:w="2126" w:type="dxa"/>
            <w:tcBorders>
              <w:top w:val="single" w:sz="4" w:space="0" w:color="auto"/>
              <w:left w:val="single" w:sz="4" w:space="0" w:color="auto"/>
              <w:bottom w:val="single" w:sz="4" w:space="0" w:color="auto"/>
            </w:tcBorders>
            <w:shd w:val="clear" w:color="000000" w:fill="FFFFFF"/>
          </w:tcPr>
          <w:p w14:paraId="7C977A67" w14:textId="34CEDF07" w:rsidR="004C4A79" w:rsidRPr="00225669" w:rsidRDefault="00A6675D" w:rsidP="001B2A40">
            <w:pPr>
              <w:jc w:val="both"/>
              <w:rPr>
                <w:rFonts w:eastAsia="Times New Roman" w:cs="Arial"/>
                <w:color w:val="000000"/>
                <w:sz w:val="20"/>
                <w:szCs w:val="20"/>
              </w:rPr>
            </w:pPr>
            <w:r w:rsidRPr="00225669">
              <w:rPr>
                <w:rFonts w:eastAsia="Times New Roman" w:cs="Arial"/>
                <w:color w:val="000000"/>
                <w:sz w:val="20"/>
                <w:szCs w:val="20"/>
              </w:rPr>
              <w:t xml:space="preserve">The </w:t>
            </w:r>
            <w:r w:rsidR="004C4A79" w:rsidRPr="00225669">
              <w:rPr>
                <w:rFonts w:eastAsia="Times New Roman" w:cs="Arial"/>
                <w:color w:val="000000"/>
                <w:sz w:val="20"/>
                <w:szCs w:val="20"/>
              </w:rPr>
              <w:t>Vice President</w:t>
            </w:r>
          </w:p>
        </w:tc>
        <w:tc>
          <w:tcPr>
            <w:tcW w:w="850" w:type="dxa"/>
            <w:tcBorders>
              <w:top w:val="single" w:sz="4" w:space="0" w:color="auto"/>
              <w:bottom w:val="single" w:sz="4" w:space="0" w:color="auto"/>
            </w:tcBorders>
            <w:shd w:val="clear" w:color="000000" w:fill="FFFFFF"/>
          </w:tcPr>
          <w:p w14:paraId="5A3FA9A4"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575BEBE4"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0E9030DD" w14:textId="7F4EEABA" w:rsidR="00650BD5" w:rsidRPr="00225669" w:rsidRDefault="00B22173" w:rsidP="00B22173">
            <w:pPr>
              <w:jc w:val="both"/>
              <w:rPr>
                <w:rFonts w:eastAsia="Times New Roman" w:cs="Arial"/>
                <w:color w:val="000000"/>
                <w:sz w:val="20"/>
                <w:szCs w:val="20"/>
              </w:rPr>
            </w:pPr>
            <w:r w:rsidRPr="00225669">
              <w:rPr>
                <w:rFonts w:eastAsia="Times New Roman" w:cs="Arial"/>
                <w:color w:val="000000"/>
                <w:sz w:val="20"/>
                <w:szCs w:val="20"/>
              </w:rPr>
              <w:t>Traditionally, the Vice President provides leadership on economic issues as Chairman of the E</w:t>
            </w:r>
            <w:r w:rsidR="004C4A79" w:rsidRPr="00225669">
              <w:rPr>
                <w:rFonts w:eastAsia="Times New Roman" w:cs="Arial"/>
                <w:color w:val="000000"/>
                <w:sz w:val="20"/>
                <w:szCs w:val="20"/>
              </w:rPr>
              <w:t xml:space="preserve">conomic </w:t>
            </w:r>
            <w:r w:rsidRPr="00225669">
              <w:rPr>
                <w:rFonts w:eastAsia="Times New Roman" w:cs="Arial"/>
                <w:color w:val="000000"/>
                <w:sz w:val="20"/>
                <w:szCs w:val="20"/>
              </w:rPr>
              <w:t>M</w:t>
            </w:r>
            <w:r w:rsidR="004C4A79" w:rsidRPr="00225669">
              <w:rPr>
                <w:rFonts w:eastAsia="Times New Roman" w:cs="Arial"/>
                <w:color w:val="000000"/>
                <w:sz w:val="20"/>
                <w:szCs w:val="20"/>
              </w:rPr>
              <w:t xml:space="preserve">anagement </w:t>
            </w:r>
            <w:r w:rsidRPr="00225669">
              <w:rPr>
                <w:rFonts w:eastAsia="Times New Roman" w:cs="Arial"/>
                <w:color w:val="000000"/>
                <w:sz w:val="20"/>
                <w:szCs w:val="20"/>
              </w:rPr>
              <w:t>T</w:t>
            </w:r>
            <w:r w:rsidR="004C4A79" w:rsidRPr="00225669">
              <w:rPr>
                <w:rFonts w:eastAsia="Times New Roman" w:cs="Arial"/>
                <w:color w:val="000000"/>
                <w:sz w:val="20"/>
                <w:szCs w:val="20"/>
              </w:rPr>
              <w:t>eam</w:t>
            </w:r>
            <w:r w:rsidRPr="00225669">
              <w:rPr>
                <w:rFonts w:eastAsia="Times New Roman" w:cs="Arial"/>
                <w:color w:val="000000"/>
                <w:sz w:val="20"/>
                <w:szCs w:val="20"/>
              </w:rPr>
              <w:t xml:space="preserve">. Prof. </w:t>
            </w:r>
            <w:r w:rsidR="00A6675D" w:rsidRPr="00225669">
              <w:rPr>
                <w:rFonts w:eastAsia="Times New Roman" w:cs="Arial"/>
                <w:color w:val="000000"/>
                <w:sz w:val="20"/>
                <w:szCs w:val="20"/>
              </w:rPr>
              <w:t xml:space="preserve">Yemi </w:t>
            </w:r>
            <w:r w:rsidRPr="00225669">
              <w:rPr>
                <w:rFonts w:eastAsia="Times New Roman" w:cs="Arial"/>
                <w:color w:val="000000"/>
                <w:sz w:val="20"/>
                <w:szCs w:val="20"/>
              </w:rPr>
              <w:t xml:space="preserve">Osinbajo is already playing this role that will also encompass development issues in the Niger Delta. However, it is insinuated that overtime there </w:t>
            </w:r>
            <w:r w:rsidR="004C4A79" w:rsidRPr="00225669">
              <w:rPr>
                <w:rFonts w:eastAsia="Times New Roman" w:cs="Arial"/>
                <w:color w:val="000000"/>
                <w:sz w:val="20"/>
                <w:szCs w:val="20"/>
              </w:rPr>
              <w:t xml:space="preserve">could </w:t>
            </w:r>
            <w:r w:rsidRPr="00225669">
              <w:rPr>
                <w:rFonts w:eastAsia="Times New Roman" w:cs="Arial"/>
                <w:color w:val="000000"/>
                <w:sz w:val="20"/>
                <w:szCs w:val="20"/>
              </w:rPr>
              <w:t>be</w:t>
            </w:r>
            <w:r w:rsidR="004C4A79" w:rsidRPr="00225669">
              <w:rPr>
                <w:rFonts w:eastAsia="Times New Roman" w:cs="Arial"/>
                <w:color w:val="000000"/>
                <w:sz w:val="20"/>
                <w:szCs w:val="20"/>
              </w:rPr>
              <w:t xml:space="preserve"> a dwindling of </w:t>
            </w:r>
            <w:r w:rsidRPr="00225669">
              <w:rPr>
                <w:rFonts w:eastAsia="Times New Roman" w:cs="Arial"/>
                <w:color w:val="000000"/>
                <w:sz w:val="20"/>
                <w:szCs w:val="20"/>
              </w:rPr>
              <w:t>his</w:t>
            </w:r>
            <w:r w:rsidR="004C4A79" w:rsidRPr="00225669">
              <w:rPr>
                <w:rFonts w:eastAsia="Times New Roman" w:cs="Arial"/>
                <w:color w:val="000000"/>
                <w:sz w:val="20"/>
                <w:szCs w:val="20"/>
              </w:rPr>
              <w:t xml:space="preserve"> profile as President </w:t>
            </w:r>
            <w:r w:rsidRPr="00225669">
              <w:rPr>
                <w:rFonts w:eastAsia="Times New Roman" w:cs="Arial"/>
                <w:color w:val="000000"/>
                <w:sz w:val="20"/>
                <w:szCs w:val="20"/>
              </w:rPr>
              <w:t xml:space="preserve">Buhari could </w:t>
            </w:r>
            <w:r w:rsidR="004C4A79" w:rsidRPr="00225669">
              <w:rPr>
                <w:rFonts w:eastAsia="Times New Roman" w:cs="Arial"/>
                <w:color w:val="000000"/>
                <w:sz w:val="20"/>
                <w:szCs w:val="20"/>
              </w:rPr>
              <w:t>increasingly rel</w:t>
            </w:r>
            <w:r w:rsidRPr="00225669">
              <w:rPr>
                <w:rFonts w:eastAsia="Times New Roman" w:cs="Arial"/>
                <w:color w:val="000000"/>
                <w:sz w:val="20"/>
                <w:szCs w:val="20"/>
              </w:rPr>
              <w:t xml:space="preserve">y </w:t>
            </w:r>
            <w:r w:rsidR="004C4A79" w:rsidRPr="00225669">
              <w:rPr>
                <w:rFonts w:eastAsia="Times New Roman" w:cs="Arial"/>
                <w:color w:val="000000"/>
                <w:sz w:val="20"/>
                <w:szCs w:val="20"/>
              </w:rPr>
              <w:t xml:space="preserve">on his trusted circle of advisers. </w:t>
            </w:r>
            <w:r w:rsidRPr="00225669">
              <w:rPr>
                <w:rFonts w:eastAsia="Times New Roman" w:cs="Arial"/>
                <w:color w:val="000000"/>
                <w:sz w:val="20"/>
                <w:szCs w:val="20"/>
              </w:rPr>
              <w:t xml:space="preserve">President Buhari is said to be instinctively more trusting of people he has had a long history with. If the Vice President suffers a decline in responsibility and clout, issues of Niger Delta development and security could be moved to one of the more-trusted aides of the President. </w:t>
            </w:r>
            <w:r w:rsidR="004C4A79" w:rsidRPr="00225669">
              <w:rPr>
                <w:rFonts w:eastAsia="Times New Roman" w:cs="Arial"/>
                <w:color w:val="000000"/>
                <w:sz w:val="20"/>
                <w:szCs w:val="20"/>
              </w:rPr>
              <w:t>However</w:t>
            </w:r>
            <w:r w:rsidRPr="00225669">
              <w:rPr>
                <w:rFonts w:eastAsia="Times New Roman" w:cs="Arial"/>
                <w:color w:val="000000"/>
                <w:sz w:val="20"/>
                <w:szCs w:val="20"/>
              </w:rPr>
              <w:t xml:space="preserve">, given Prof. Osinbajo’s reported integrity, it is likely that he </w:t>
            </w:r>
            <w:r w:rsidR="00650BD5" w:rsidRPr="00225669">
              <w:rPr>
                <w:rFonts w:eastAsia="Times New Roman" w:cs="Arial"/>
                <w:color w:val="000000"/>
                <w:sz w:val="20"/>
                <w:szCs w:val="20"/>
              </w:rPr>
              <w:t>could</w:t>
            </w:r>
            <w:r w:rsidRPr="00225669">
              <w:rPr>
                <w:rFonts w:eastAsia="Times New Roman" w:cs="Arial"/>
                <w:color w:val="000000"/>
                <w:sz w:val="20"/>
                <w:szCs w:val="20"/>
              </w:rPr>
              <w:t xml:space="preserve"> build a relationship of trust with President Buhari </w:t>
            </w:r>
            <w:r w:rsidR="00650BD5" w:rsidRPr="00225669">
              <w:rPr>
                <w:rFonts w:eastAsia="Times New Roman" w:cs="Arial"/>
                <w:color w:val="000000"/>
                <w:sz w:val="20"/>
                <w:szCs w:val="20"/>
              </w:rPr>
              <w:t xml:space="preserve">that could </w:t>
            </w:r>
            <w:r w:rsidRPr="00225669">
              <w:rPr>
                <w:rFonts w:eastAsia="Times New Roman" w:cs="Arial"/>
                <w:color w:val="000000"/>
                <w:sz w:val="20"/>
                <w:szCs w:val="20"/>
              </w:rPr>
              <w:t xml:space="preserve">see him retaining his </w:t>
            </w:r>
            <w:r w:rsidR="00650BD5" w:rsidRPr="00225669">
              <w:rPr>
                <w:rFonts w:eastAsia="Times New Roman" w:cs="Arial"/>
                <w:color w:val="000000"/>
                <w:sz w:val="20"/>
                <w:szCs w:val="20"/>
              </w:rPr>
              <w:t>leadership on economic matters.</w:t>
            </w:r>
          </w:p>
          <w:p w14:paraId="7B6C1CA5" w14:textId="77777777" w:rsidR="00650BD5" w:rsidRPr="00225669" w:rsidRDefault="00650BD5" w:rsidP="00B22173">
            <w:pPr>
              <w:jc w:val="both"/>
              <w:rPr>
                <w:rFonts w:eastAsia="Times New Roman" w:cs="Arial"/>
                <w:color w:val="000000"/>
                <w:sz w:val="20"/>
                <w:szCs w:val="20"/>
              </w:rPr>
            </w:pPr>
          </w:p>
          <w:p w14:paraId="7C757892" w14:textId="0B5E2D1C" w:rsidR="004C4A79" w:rsidRPr="00225669" w:rsidRDefault="00194E7F" w:rsidP="00194E7F">
            <w:pPr>
              <w:jc w:val="both"/>
              <w:rPr>
                <w:rFonts w:eastAsia="Times New Roman" w:cs="Arial"/>
                <w:color w:val="000000"/>
                <w:sz w:val="20"/>
                <w:szCs w:val="20"/>
              </w:rPr>
            </w:pPr>
            <w:r w:rsidRPr="00225669">
              <w:rPr>
                <w:rFonts w:eastAsia="Times New Roman" w:cs="Arial"/>
                <w:color w:val="000000"/>
                <w:sz w:val="20"/>
                <w:szCs w:val="20"/>
              </w:rPr>
              <w:t xml:space="preserve">Furthermore, some of the newly appointed Ministers with big national stature </w:t>
            </w:r>
            <w:r w:rsidR="00650BD5" w:rsidRPr="00225669">
              <w:rPr>
                <w:rFonts w:eastAsia="Times New Roman" w:cs="Arial"/>
                <w:color w:val="000000"/>
                <w:sz w:val="20"/>
                <w:szCs w:val="20"/>
              </w:rPr>
              <w:t xml:space="preserve">may wish to exert their authority as </w:t>
            </w:r>
            <w:r w:rsidRPr="00225669">
              <w:rPr>
                <w:rFonts w:eastAsia="Times New Roman" w:cs="Arial"/>
                <w:color w:val="000000"/>
                <w:sz w:val="20"/>
                <w:szCs w:val="20"/>
              </w:rPr>
              <w:t>c</w:t>
            </w:r>
            <w:r w:rsidR="00650BD5" w:rsidRPr="00225669">
              <w:rPr>
                <w:rFonts w:eastAsia="Times New Roman" w:cs="Arial"/>
                <w:color w:val="000000"/>
                <w:sz w:val="20"/>
                <w:szCs w:val="20"/>
              </w:rPr>
              <w:t xml:space="preserve">hief </w:t>
            </w:r>
            <w:r w:rsidRPr="00225669">
              <w:rPr>
                <w:rFonts w:eastAsia="Times New Roman" w:cs="Arial"/>
                <w:color w:val="000000"/>
                <w:sz w:val="20"/>
                <w:szCs w:val="20"/>
              </w:rPr>
              <w:t>e</w:t>
            </w:r>
            <w:r w:rsidR="00650BD5" w:rsidRPr="00225669">
              <w:rPr>
                <w:rFonts w:eastAsia="Times New Roman" w:cs="Arial"/>
                <w:color w:val="000000"/>
                <w:sz w:val="20"/>
                <w:szCs w:val="20"/>
              </w:rPr>
              <w:t>xecutives of their Ministries</w:t>
            </w:r>
            <w:r w:rsidRPr="00225669">
              <w:rPr>
                <w:rFonts w:eastAsia="Times New Roman" w:cs="Arial"/>
                <w:color w:val="000000"/>
                <w:sz w:val="20"/>
                <w:szCs w:val="20"/>
              </w:rPr>
              <w:t xml:space="preserve"> without being subservient to any authorities other than the President</w:t>
            </w:r>
            <w:r w:rsidR="00650BD5" w:rsidRPr="00225669">
              <w:rPr>
                <w:rFonts w:eastAsia="Times New Roman" w:cs="Arial"/>
                <w:color w:val="000000"/>
                <w:sz w:val="20"/>
                <w:szCs w:val="20"/>
              </w:rPr>
              <w:t>. This could be a source of friction especially if they Ministers feel that the Vice President may not enjoy full alignment with the President.</w:t>
            </w:r>
          </w:p>
        </w:tc>
      </w:tr>
      <w:tr w:rsidR="004C4A79" w:rsidRPr="00225669" w14:paraId="185497A1" w14:textId="77777777" w:rsidTr="00E5576D">
        <w:trPr>
          <w:trHeight w:val="54"/>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1AE774B5" w14:textId="4CAF480E"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1c</w:t>
            </w:r>
          </w:p>
        </w:tc>
        <w:tc>
          <w:tcPr>
            <w:tcW w:w="2126" w:type="dxa"/>
            <w:tcBorders>
              <w:top w:val="single" w:sz="4" w:space="0" w:color="auto"/>
              <w:left w:val="single" w:sz="4" w:space="0" w:color="auto"/>
              <w:bottom w:val="single" w:sz="4" w:space="0" w:color="auto"/>
            </w:tcBorders>
            <w:shd w:val="clear" w:color="000000" w:fill="FFFFFF"/>
          </w:tcPr>
          <w:p w14:paraId="3C750E62" w14:textId="282FFE2A" w:rsidR="004C4A79" w:rsidRPr="00225669" w:rsidRDefault="00A6675D" w:rsidP="001B2A40">
            <w:pPr>
              <w:jc w:val="both"/>
              <w:rPr>
                <w:rFonts w:eastAsia="Times New Roman" w:cs="Arial"/>
                <w:color w:val="000000"/>
                <w:sz w:val="20"/>
                <w:szCs w:val="20"/>
              </w:rPr>
            </w:pPr>
            <w:r w:rsidRPr="00225669">
              <w:rPr>
                <w:rFonts w:eastAsia="Times New Roman" w:cs="Arial"/>
                <w:color w:val="000000"/>
                <w:sz w:val="20"/>
                <w:szCs w:val="20"/>
              </w:rPr>
              <w:t xml:space="preserve">The </w:t>
            </w:r>
            <w:r w:rsidR="004C4A79" w:rsidRPr="00225669">
              <w:rPr>
                <w:rFonts w:eastAsia="Times New Roman" w:cs="Arial"/>
                <w:color w:val="000000"/>
                <w:sz w:val="20"/>
                <w:szCs w:val="20"/>
              </w:rPr>
              <w:t>Chief of Staff</w:t>
            </w:r>
            <w:r w:rsidR="00194E7F" w:rsidRPr="00225669">
              <w:rPr>
                <w:rFonts w:eastAsia="Times New Roman" w:cs="Arial"/>
                <w:color w:val="000000"/>
                <w:sz w:val="20"/>
                <w:szCs w:val="20"/>
              </w:rPr>
              <w:t xml:space="preserve"> to the President</w:t>
            </w:r>
          </w:p>
        </w:tc>
        <w:tc>
          <w:tcPr>
            <w:tcW w:w="850" w:type="dxa"/>
            <w:tcBorders>
              <w:top w:val="single" w:sz="4" w:space="0" w:color="auto"/>
              <w:bottom w:val="single" w:sz="4" w:space="0" w:color="auto"/>
            </w:tcBorders>
            <w:shd w:val="clear" w:color="000000" w:fill="FFFFFF"/>
          </w:tcPr>
          <w:p w14:paraId="71B59C24"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5F340969"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6A59F68E" w14:textId="4B30636B"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Alhaji Abba Kyari has a stro</w:t>
            </w:r>
            <w:r w:rsidR="00194E7F" w:rsidRPr="00225669">
              <w:rPr>
                <w:rFonts w:eastAsia="Times New Roman" w:cs="Arial"/>
                <w:color w:val="000000"/>
                <w:sz w:val="20"/>
                <w:szCs w:val="20"/>
              </w:rPr>
              <w:t>ng administrative and managerial</w:t>
            </w:r>
            <w:r w:rsidRPr="00225669">
              <w:rPr>
                <w:rFonts w:eastAsia="Times New Roman" w:cs="Arial"/>
                <w:color w:val="000000"/>
                <w:sz w:val="20"/>
                <w:szCs w:val="20"/>
              </w:rPr>
              <w:t xml:space="preserve"> background</w:t>
            </w:r>
            <w:r w:rsidR="00771CFC" w:rsidRPr="00225669">
              <w:rPr>
                <w:rFonts w:eastAsia="Times New Roman" w:cs="Arial"/>
                <w:color w:val="000000"/>
                <w:sz w:val="20"/>
                <w:szCs w:val="20"/>
              </w:rPr>
              <w:t xml:space="preserve"> with a stellar career in both the private and public sectors</w:t>
            </w:r>
            <w:r w:rsidRPr="00225669">
              <w:rPr>
                <w:rFonts w:eastAsia="Times New Roman" w:cs="Arial"/>
                <w:color w:val="000000"/>
                <w:sz w:val="20"/>
                <w:szCs w:val="20"/>
              </w:rPr>
              <w:t xml:space="preserve">. </w:t>
            </w:r>
            <w:r w:rsidR="00771CFC" w:rsidRPr="00225669">
              <w:rPr>
                <w:rFonts w:eastAsia="Times New Roman" w:cs="Arial"/>
                <w:color w:val="000000"/>
                <w:sz w:val="20"/>
                <w:szCs w:val="20"/>
              </w:rPr>
              <w:t xml:space="preserve">He would understand the issues of development in the Niger Delta region and the need to ensure a stable and well-developed region in the interest of the Nigeria state. However, being an ethnic minority with limited political clout, he may not have the </w:t>
            </w:r>
            <w:r w:rsidR="00A6675D" w:rsidRPr="00225669">
              <w:rPr>
                <w:rFonts w:eastAsia="Times New Roman" w:cs="Arial"/>
                <w:color w:val="000000"/>
                <w:sz w:val="20"/>
                <w:szCs w:val="20"/>
              </w:rPr>
              <w:t>power to advance the development of the Niger Delta region. However, it is said that he has a strong relationship based on trust with the president and is well positioned to influence policy direction from his office.</w:t>
            </w:r>
          </w:p>
        </w:tc>
      </w:tr>
      <w:tr w:rsidR="004C4A79" w:rsidRPr="00225669" w14:paraId="433AE6CA" w14:textId="77777777" w:rsidTr="00E5576D">
        <w:trPr>
          <w:trHeight w:val="67"/>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0049C080" w14:textId="011EB32B"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1d</w:t>
            </w:r>
          </w:p>
        </w:tc>
        <w:tc>
          <w:tcPr>
            <w:tcW w:w="2126" w:type="dxa"/>
            <w:tcBorders>
              <w:top w:val="single" w:sz="4" w:space="0" w:color="auto"/>
              <w:left w:val="single" w:sz="4" w:space="0" w:color="auto"/>
              <w:bottom w:val="single" w:sz="4" w:space="0" w:color="auto"/>
            </w:tcBorders>
            <w:shd w:val="clear" w:color="000000" w:fill="FFFFFF"/>
          </w:tcPr>
          <w:p w14:paraId="286AAD24" w14:textId="3786F599" w:rsidR="004C4A79" w:rsidRPr="00225669" w:rsidRDefault="00A6675D" w:rsidP="00A6675D">
            <w:pPr>
              <w:jc w:val="both"/>
              <w:rPr>
                <w:rFonts w:eastAsia="Times New Roman" w:cs="Arial"/>
                <w:color w:val="000000"/>
                <w:sz w:val="20"/>
                <w:szCs w:val="20"/>
              </w:rPr>
            </w:pPr>
            <w:r w:rsidRPr="00225669">
              <w:rPr>
                <w:rFonts w:eastAsia="Times New Roman" w:cs="Arial"/>
                <w:color w:val="000000"/>
                <w:sz w:val="20"/>
                <w:szCs w:val="20"/>
              </w:rPr>
              <w:t xml:space="preserve">The </w:t>
            </w:r>
            <w:r w:rsidR="004C4A79" w:rsidRPr="00225669">
              <w:rPr>
                <w:rFonts w:eastAsia="Times New Roman" w:cs="Arial"/>
                <w:color w:val="000000"/>
                <w:sz w:val="20"/>
                <w:szCs w:val="20"/>
              </w:rPr>
              <w:t>Secretary</w:t>
            </w:r>
            <w:r w:rsidRPr="00225669">
              <w:rPr>
                <w:rFonts w:eastAsia="Times New Roman" w:cs="Arial"/>
                <w:color w:val="000000"/>
                <w:sz w:val="20"/>
                <w:szCs w:val="20"/>
              </w:rPr>
              <w:t xml:space="preserve"> to the </w:t>
            </w:r>
            <w:r w:rsidR="004C4A79" w:rsidRPr="00225669">
              <w:rPr>
                <w:rFonts w:eastAsia="Times New Roman" w:cs="Arial"/>
                <w:color w:val="000000"/>
                <w:sz w:val="20"/>
                <w:szCs w:val="20"/>
              </w:rPr>
              <w:t>Government of the Federation</w:t>
            </w:r>
          </w:p>
        </w:tc>
        <w:tc>
          <w:tcPr>
            <w:tcW w:w="850" w:type="dxa"/>
            <w:tcBorders>
              <w:top w:val="single" w:sz="4" w:space="0" w:color="auto"/>
              <w:bottom w:val="single" w:sz="4" w:space="0" w:color="auto"/>
            </w:tcBorders>
            <w:shd w:val="clear" w:color="000000" w:fill="FFFFFF"/>
          </w:tcPr>
          <w:p w14:paraId="1F81123A"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35A4FC42"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156E4ADE" w14:textId="615032BF" w:rsidR="004C4A79" w:rsidRPr="00225669" w:rsidRDefault="004C4A79" w:rsidP="00A6675D">
            <w:pPr>
              <w:jc w:val="both"/>
              <w:rPr>
                <w:rFonts w:eastAsia="Times New Roman" w:cs="Arial"/>
                <w:color w:val="000000"/>
                <w:sz w:val="20"/>
                <w:szCs w:val="20"/>
              </w:rPr>
            </w:pPr>
            <w:r w:rsidRPr="00225669">
              <w:rPr>
                <w:rFonts w:eastAsia="Times New Roman" w:cs="Arial"/>
                <w:color w:val="000000"/>
                <w:sz w:val="20"/>
                <w:szCs w:val="20"/>
              </w:rPr>
              <w:t xml:space="preserve">Babachir David Lawal is a minority Christian from the North with high administrative and management skills. His focus towards the development of the Niger Delta region will be balanced because he understands minority issues and </w:t>
            </w:r>
            <w:r w:rsidR="00A6675D" w:rsidRPr="00225669">
              <w:rPr>
                <w:rFonts w:eastAsia="Times New Roman" w:cs="Arial"/>
                <w:color w:val="000000"/>
                <w:sz w:val="20"/>
                <w:szCs w:val="20"/>
              </w:rPr>
              <w:t xml:space="preserve">would have a </w:t>
            </w:r>
            <w:r w:rsidRPr="00225669">
              <w:rPr>
                <w:rFonts w:eastAsia="Times New Roman" w:cs="Arial"/>
                <w:color w:val="000000"/>
                <w:sz w:val="20"/>
                <w:szCs w:val="20"/>
              </w:rPr>
              <w:t xml:space="preserve">competitive interest </w:t>
            </w:r>
            <w:r w:rsidR="00A6675D" w:rsidRPr="00225669">
              <w:rPr>
                <w:rFonts w:eastAsia="Times New Roman" w:cs="Arial"/>
                <w:color w:val="000000"/>
                <w:sz w:val="20"/>
                <w:szCs w:val="20"/>
              </w:rPr>
              <w:t xml:space="preserve">in the development of the Niger Delta region given his </w:t>
            </w:r>
            <w:r w:rsidRPr="00225669">
              <w:rPr>
                <w:rFonts w:eastAsia="Times New Roman" w:cs="Arial"/>
                <w:color w:val="000000"/>
                <w:sz w:val="20"/>
                <w:szCs w:val="20"/>
              </w:rPr>
              <w:t xml:space="preserve">Northern background. </w:t>
            </w:r>
            <w:r w:rsidR="00A6675D" w:rsidRPr="00225669">
              <w:rPr>
                <w:rFonts w:eastAsia="Times New Roman" w:cs="Arial"/>
                <w:color w:val="000000"/>
                <w:sz w:val="20"/>
                <w:szCs w:val="20"/>
              </w:rPr>
              <w:t xml:space="preserve">His Freudian slip on owing his appointment to the influence of Alhaji Bola Tinubu as against the influence of the core Northern political class could be indicative of his feelings as a minority from the North. This is quite relevant given that his office </w:t>
            </w:r>
            <w:r w:rsidRPr="00225669">
              <w:rPr>
                <w:rFonts w:eastAsia="Times New Roman" w:cs="Arial"/>
                <w:color w:val="000000"/>
                <w:sz w:val="20"/>
                <w:szCs w:val="20"/>
              </w:rPr>
              <w:t>supervises the Niger Del</w:t>
            </w:r>
            <w:r w:rsidR="00A6675D" w:rsidRPr="00225669">
              <w:rPr>
                <w:rFonts w:eastAsia="Times New Roman" w:cs="Arial"/>
                <w:color w:val="000000"/>
                <w:sz w:val="20"/>
                <w:szCs w:val="20"/>
              </w:rPr>
              <w:t>ta Development Commission and he could be inclined to ensuring the effectiveness of the Commission in developing the region</w:t>
            </w:r>
            <w:r w:rsidRPr="00225669">
              <w:rPr>
                <w:rFonts w:eastAsia="Times New Roman" w:cs="Arial"/>
                <w:color w:val="000000"/>
                <w:sz w:val="20"/>
                <w:szCs w:val="20"/>
              </w:rPr>
              <w:t xml:space="preserve">. </w:t>
            </w:r>
          </w:p>
        </w:tc>
      </w:tr>
      <w:tr w:rsidR="004C4A79" w:rsidRPr="00225669" w14:paraId="211F2F7A" w14:textId="77777777" w:rsidTr="00E5576D">
        <w:trPr>
          <w:trHeight w:val="353"/>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45B49971" w14:textId="2C6D11D9"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1e</w:t>
            </w:r>
          </w:p>
        </w:tc>
        <w:tc>
          <w:tcPr>
            <w:tcW w:w="2126" w:type="dxa"/>
            <w:tcBorders>
              <w:top w:val="single" w:sz="4" w:space="0" w:color="auto"/>
              <w:left w:val="single" w:sz="4" w:space="0" w:color="auto"/>
              <w:bottom w:val="single" w:sz="4" w:space="0" w:color="auto"/>
            </w:tcBorders>
            <w:shd w:val="clear" w:color="000000" w:fill="FFFFFF"/>
          </w:tcPr>
          <w:p w14:paraId="3C6F5785"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Honourable Minister of Niger Delta Affairs</w:t>
            </w:r>
          </w:p>
        </w:tc>
        <w:tc>
          <w:tcPr>
            <w:tcW w:w="850" w:type="dxa"/>
            <w:tcBorders>
              <w:top w:val="single" w:sz="4" w:space="0" w:color="auto"/>
              <w:bottom w:val="single" w:sz="4" w:space="0" w:color="auto"/>
            </w:tcBorders>
            <w:shd w:val="clear" w:color="000000" w:fill="FFFFFF"/>
          </w:tcPr>
          <w:p w14:paraId="167D707F"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6551702E"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00498FD3" w14:textId="549ACB8E" w:rsidR="004C4A79" w:rsidRPr="00225669" w:rsidRDefault="004C4A79" w:rsidP="008E70C4">
            <w:pPr>
              <w:jc w:val="both"/>
              <w:rPr>
                <w:rFonts w:eastAsia="Times New Roman" w:cs="Arial"/>
                <w:color w:val="000000"/>
                <w:sz w:val="20"/>
                <w:szCs w:val="20"/>
              </w:rPr>
            </w:pPr>
            <w:r w:rsidRPr="00225669">
              <w:rPr>
                <w:rFonts w:eastAsia="Times New Roman" w:cs="Arial"/>
                <w:color w:val="000000"/>
                <w:sz w:val="20"/>
                <w:szCs w:val="20"/>
              </w:rPr>
              <w:t xml:space="preserve">Usani Uguru Usani has a strong political background </w:t>
            </w:r>
            <w:r w:rsidR="006844C8" w:rsidRPr="00225669">
              <w:rPr>
                <w:rFonts w:eastAsia="Times New Roman" w:cs="Arial"/>
                <w:color w:val="000000"/>
                <w:sz w:val="20"/>
                <w:szCs w:val="20"/>
              </w:rPr>
              <w:t xml:space="preserve">that saw him play an effective opposition politics </w:t>
            </w:r>
            <w:r w:rsidR="008E70C4" w:rsidRPr="00225669">
              <w:rPr>
                <w:rFonts w:eastAsia="Times New Roman" w:cs="Arial"/>
                <w:color w:val="000000"/>
                <w:sz w:val="20"/>
                <w:szCs w:val="20"/>
              </w:rPr>
              <w:t xml:space="preserve">that culminated in a role as Chairman of the All Progressives Congress in Cross River State. He has </w:t>
            </w:r>
            <w:r w:rsidRPr="00225669">
              <w:rPr>
                <w:rFonts w:eastAsia="Times New Roman" w:cs="Arial"/>
                <w:color w:val="000000"/>
                <w:sz w:val="20"/>
                <w:szCs w:val="20"/>
              </w:rPr>
              <w:t xml:space="preserve">a broad knowledge base on the issues in the Niger Delta region. </w:t>
            </w:r>
            <w:r w:rsidR="008E70C4" w:rsidRPr="00225669">
              <w:rPr>
                <w:rFonts w:eastAsia="Times New Roman" w:cs="Arial"/>
                <w:color w:val="000000"/>
                <w:sz w:val="20"/>
                <w:szCs w:val="20"/>
              </w:rPr>
              <w:t xml:space="preserve">As a pastor, he is well connected to the people and should understand their pains and the need for development. </w:t>
            </w:r>
            <w:r w:rsidRPr="00225669">
              <w:rPr>
                <w:rFonts w:eastAsia="Times New Roman" w:cs="Arial"/>
                <w:color w:val="000000"/>
                <w:sz w:val="20"/>
                <w:szCs w:val="20"/>
              </w:rPr>
              <w:t xml:space="preserve">He </w:t>
            </w:r>
            <w:r w:rsidR="008E70C4" w:rsidRPr="00225669">
              <w:rPr>
                <w:rFonts w:eastAsia="Times New Roman" w:cs="Arial"/>
                <w:color w:val="000000"/>
                <w:sz w:val="20"/>
                <w:szCs w:val="20"/>
              </w:rPr>
              <w:t xml:space="preserve">is expected to have </w:t>
            </w:r>
            <w:r w:rsidRPr="00225669">
              <w:rPr>
                <w:rFonts w:eastAsia="Times New Roman" w:cs="Arial"/>
                <w:color w:val="000000"/>
                <w:sz w:val="20"/>
                <w:szCs w:val="20"/>
              </w:rPr>
              <w:t xml:space="preserve">significant interest in the development of the Niger Delta region as an indigene and also the head of the Ministry of Niger Delta Affairs </w:t>
            </w:r>
            <w:r w:rsidR="008E70C4" w:rsidRPr="00225669">
              <w:rPr>
                <w:rFonts w:eastAsia="Times New Roman" w:cs="Arial"/>
                <w:color w:val="000000"/>
                <w:sz w:val="20"/>
                <w:szCs w:val="20"/>
              </w:rPr>
              <w:t xml:space="preserve">with a </w:t>
            </w:r>
            <w:r w:rsidRPr="00225669">
              <w:rPr>
                <w:rFonts w:eastAsia="Times New Roman" w:cs="Arial"/>
                <w:color w:val="000000"/>
                <w:sz w:val="20"/>
                <w:szCs w:val="20"/>
              </w:rPr>
              <w:t>mandate is to formulate and coordina</w:t>
            </w:r>
            <w:r w:rsidR="008E70C4" w:rsidRPr="00225669">
              <w:rPr>
                <w:rFonts w:eastAsia="Times New Roman" w:cs="Arial"/>
                <w:color w:val="000000"/>
                <w:sz w:val="20"/>
                <w:szCs w:val="20"/>
              </w:rPr>
              <w:t>te the F</w:t>
            </w:r>
            <w:r w:rsidRPr="00225669">
              <w:rPr>
                <w:rFonts w:eastAsia="Times New Roman" w:cs="Arial"/>
                <w:color w:val="000000"/>
                <w:sz w:val="20"/>
                <w:szCs w:val="20"/>
              </w:rPr>
              <w:t xml:space="preserve">ederal </w:t>
            </w:r>
            <w:r w:rsidR="008E70C4" w:rsidRPr="00225669">
              <w:rPr>
                <w:rFonts w:eastAsia="Times New Roman" w:cs="Arial"/>
                <w:color w:val="000000"/>
                <w:sz w:val="20"/>
                <w:szCs w:val="20"/>
              </w:rPr>
              <w:t>G</w:t>
            </w:r>
            <w:r w:rsidRPr="00225669">
              <w:rPr>
                <w:rFonts w:eastAsia="Times New Roman" w:cs="Arial"/>
                <w:color w:val="000000"/>
                <w:sz w:val="20"/>
                <w:szCs w:val="20"/>
              </w:rPr>
              <w:t xml:space="preserve">overnment’s development policy for the </w:t>
            </w:r>
            <w:r w:rsidR="008E70C4" w:rsidRPr="00225669">
              <w:rPr>
                <w:rFonts w:eastAsia="Times New Roman" w:cs="Arial"/>
                <w:color w:val="000000"/>
                <w:sz w:val="20"/>
                <w:szCs w:val="20"/>
              </w:rPr>
              <w:t>region</w:t>
            </w:r>
            <w:r w:rsidRPr="00225669">
              <w:rPr>
                <w:rFonts w:eastAsia="Times New Roman" w:cs="Arial"/>
                <w:color w:val="000000"/>
                <w:sz w:val="20"/>
                <w:szCs w:val="20"/>
              </w:rPr>
              <w:t>. However, he w</w:t>
            </w:r>
            <w:r w:rsidR="008E70C4" w:rsidRPr="00225669">
              <w:rPr>
                <w:rFonts w:eastAsia="Times New Roman" w:cs="Arial"/>
                <w:color w:val="000000"/>
                <w:sz w:val="20"/>
                <w:szCs w:val="20"/>
              </w:rPr>
              <w:t>ould</w:t>
            </w:r>
            <w:r w:rsidRPr="00225669">
              <w:rPr>
                <w:rFonts w:eastAsia="Times New Roman" w:cs="Arial"/>
                <w:color w:val="000000"/>
                <w:sz w:val="20"/>
                <w:szCs w:val="20"/>
              </w:rPr>
              <w:t xml:space="preserve"> need to build a broad based political platform to manage relationships with the Niger Delt</w:t>
            </w:r>
            <w:r w:rsidR="008E70C4" w:rsidRPr="00225669">
              <w:rPr>
                <w:rFonts w:eastAsia="Times New Roman" w:cs="Arial"/>
                <w:color w:val="000000"/>
                <w:sz w:val="20"/>
                <w:szCs w:val="20"/>
              </w:rPr>
              <w:t xml:space="preserve">a Development Commission (NDDC), </w:t>
            </w:r>
            <w:r w:rsidRPr="00225669">
              <w:rPr>
                <w:rFonts w:eastAsia="Times New Roman" w:cs="Arial"/>
                <w:color w:val="000000"/>
                <w:sz w:val="20"/>
                <w:szCs w:val="20"/>
              </w:rPr>
              <w:t>Presidential Amnesty Programme (PAP)</w:t>
            </w:r>
            <w:r w:rsidR="008E70C4" w:rsidRPr="00225669">
              <w:rPr>
                <w:rFonts w:eastAsia="Times New Roman" w:cs="Arial"/>
                <w:color w:val="000000"/>
                <w:sz w:val="20"/>
                <w:szCs w:val="20"/>
              </w:rPr>
              <w:t>, and other key stakeholders in the region.</w:t>
            </w:r>
          </w:p>
        </w:tc>
      </w:tr>
      <w:tr w:rsidR="004C4A79" w:rsidRPr="00225669" w14:paraId="0C6532AE" w14:textId="77777777" w:rsidTr="00E5576D">
        <w:trPr>
          <w:trHeight w:val="353"/>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446D1A09" w14:textId="4B43E87C"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1f</w:t>
            </w:r>
          </w:p>
        </w:tc>
        <w:tc>
          <w:tcPr>
            <w:tcW w:w="2126" w:type="dxa"/>
            <w:tcBorders>
              <w:top w:val="single" w:sz="4" w:space="0" w:color="auto"/>
              <w:left w:val="single" w:sz="4" w:space="0" w:color="auto"/>
              <w:bottom w:val="single" w:sz="4" w:space="0" w:color="auto"/>
            </w:tcBorders>
            <w:shd w:val="clear" w:color="000000" w:fill="FFFFFF"/>
          </w:tcPr>
          <w:p w14:paraId="288CB4C5"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Honourable Minister of Environment</w:t>
            </w:r>
          </w:p>
        </w:tc>
        <w:tc>
          <w:tcPr>
            <w:tcW w:w="850" w:type="dxa"/>
            <w:tcBorders>
              <w:top w:val="single" w:sz="4" w:space="0" w:color="auto"/>
              <w:bottom w:val="single" w:sz="4" w:space="0" w:color="auto"/>
            </w:tcBorders>
            <w:shd w:val="clear" w:color="000000" w:fill="FFFFFF"/>
          </w:tcPr>
          <w:p w14:paraId="38FFB9D1"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45884F02"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517FE299" w14:textId="5A70D7C1" w:rsidR="008E70C4"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Ms. Amina Mohammed is a very strong political player and well connected to the Presidency. </w:t>
            </w:r>
            <w:r w:rsidR="008E70C4" w:rsidRPr="00225669">
              <w:rPr>
                <w:rFonts w:eastAsia="Times New Roman" w:cs="Arial"/>
                <w:color w:val="000000"/>
                <w:sz w:val="20"/>
                <w:szCs w:val="20"/>
              </w:rPr>
              <w:t>She has a close relationship with the President having work from Afri-Projects – the main consulting firm that provide services to the Petroleum Trust Fund under the chairmanship of General Mohammadu Buhari (ret.). She is said to enjoy the trust of the president on technical matters.</w:t>
            </w:r>
          </w:p>
          <w:p w14:paraId="3611FC61" w14:textId="77777777" w:rsidR="008E70C4" w:rsidRPr="00225669" w:rsidRDefault="008E70C4" w:rsidP="001B2A40">
            <w:pPr>
              <w:jc w:val="both"/>
              <w:rPr>
                <w:rFonts w:eastAsia="Times New Roman" w:cs="Arial"/>
                <w:color w:val="000000"/>
                <w:sz w:val="20"/>
                <w:szCs w:val="20"/>
              </w:rPr>
            </w:pPr>
          </w:p>
          <w:p w14:paraId="3FA9B46F" w14:textId="4419088D" w:rsidR="008E70C4" w:rsidRPr="00225669" w:rsidRDefault="008E70C4" w:rsidP="001B2A40">
            <w:pPr>
              <w:jc w:val="both"/>
              <w:rPr>
                <w:rFonts w:eastAsia="Times New Roman" w:cs="Arial"/>
                <w:color w:val="000000"/>
                <w:sz w:val="20"/>
                <w:szCs w:val="20"/>
              </w:rPr>
            </w:pPr>
            <w:r w:rsidRPr="00225669">
              <w:rPr>
                <w:rFonts w:eastAsia="Times New Roman" w:cs="Arial"/>
                <w:color w:val="000000"/>
                <w:sz w:val="20"/>
                <w:szCs w:val="20"/>
              </w:rPr>
              <w:t xml:space="preserve">Ms. Mohammed has vast experience in national administration having served as Special Adviser to President </w:t>
            </w:r>
            <w:r w:rsidR="00E5576D" w:rsidRPr="00225669">
              <w:rPr>
                <w:rFonts w:eastAsia="Times New Roman" w:cs="Arial"/>
                <w:color w:val="000000"/>
                <w:sz w:val="20"/>
                <w:szCs w:val="20"/>
              </w:rPr>
              <w:t>Obasanjo on Millennium Development Goals. The fact that she served in such a well-resourced agency without major allegations of financial misappropriation is said to further establish her relationship of trust with President Buhari.</w:t>
            </w:r>
          </w:p>
          <w:p w14:paraId="4C393A49" w14:textId="77777777" w:rsidR="008E70C4" w:rsidRPr="00225669" w:rsidRDefault="008E70C4" w:rsidP="001B2A40">
            <w:pPr>
              <w:jc w:val="both"/>
              <w:rPr>
                <w:rFonts w:eastAsia="Times New Roman" w:cs="Arial"/>
                <w:color w:val="000000"/>
                <w:sz w:val="20"/>
                <w:szCs w:val="20"/>
              </w:rPr>
            </w:pPr>
          </w:p>
          <w:p w14:paraId="194BCF87" w14:textId="7F43BBB7" w:rsidR="004C4A79" w:rsidRPr="00225669" w:rsidRDefault="00E5576D" w:rsidP="00E5576D">
            <w:pPr>
              <w:jc w:val="both"/>
              <w:rPr>
                <w:rFonts w:eastAsia="Times New Roman" w:cs="Arial"/>
                <w:color w:val="000000"/>
                <w:sz w:val="20"/>
                <w:szCs w:val="20"/>
              </w:rPr>
            </w:pPr>
            <w:r w:rsidRPr="00225669">
              <w:rPr>
                <w:rFonts w:eastAsia="Times New Roman" w:cs="Arial"/>
                <w:color w:val="000000"/>
                <w:sz w:val="20"/>
                <w:szCs w:val="20"/>
              </w:rPr>
              <w:t xml:space="preserve">Until recently, she was a </w:t>
            </w:r>
            <w:r w:rsidR="004C4A79" w:rsidRPr="00225669">
              <w:rPr>
                <w:rFonts w:eastAsia="Times New Roman" w:cs="Arial"/>
                <w:color w:val="000000"/>
                <w:sz w:val="20"/>
                <w:szCs w:val="20"/>
              </w:rPr>
              <w:t xml:space="preserve">Special Adviser to </w:t>
            </w:r>
            <w:r w:rsidRPr="00225669">
              <w:rPr>
                <w:rFonts w:eastAsia="Times New Roman" w:cs="Arial"/>
                <w:color w:val="000000"/>
                <w:sz w:val="20"/>
                <w:szCs w:val="20"/>
              </w:rPr>
              <w:t xml:space="preserve">the </w:t>
            </w:r>
            <w:r w:rsidR="004C4A79" w:rsidRPr="00225669">
              <w:rPr>
                <w:rFonts w:eastAsia="Times New Roman" w:cs="Arial"/>
                <w:color w:val="000000"/>
                <w:sz w:val="20"/>
                <w:szCs w:val="20"/>
              </w:rPr>
              <w:t>U</w:t>
            </w:r>
            <w:r w:rsidRPr="00225669">
              <w:rPr>
                <w:rFonts w:eastAsia="Times New Roman" w:cs="Arial"/>
                <w:color w:val="000000"/>
                <w:sz w:val="20"/>
                <w:szCs w:val="20"/>
              </w:rPr>
              <w:t xml:space="preserve">nited </w:t>
            </w:r>
            <w:r w:rsidR="004C4A79" w:rsidRPr="00225669">
              <w:rPr>
                <w:rFonts w:eastAsia="Times New Roman" w:cs="Arial"/>
                <w:color w:val="000000"/>
                <w:sz w:val="20"/>
                <w:szCs w:val="20"/>
              </w:rPr>
              <w:t>N</w:t>
            </w:r>
            <w:r w:rsidRPr="00225669">
              <w:rPr>
                <w:rFonts w:eastAsia="Times New Roman" w:cs="Arial"/>
                <w:color w:val="000000"/>
                <w:sz w:val="20"/>
                <w:szCs w:val="20"/>
              </w:rPr>
              <w:t>ations</w:t>
            </w:r>
            <w:r w:rsidR="004C4A79" w:rsidRPr="00225669">
              <w:rPr>
                <w:rFonts w:eastAsia="Times New Roman" w:cs="Arial"/>
                <w:color w:val="000000"/>
                <w:sz w:val="20"/>
                <w:szCs w:val="20"/>
              </w:rPr>
              <w:t xml:space="preserve"> Secretary-General Ban Ki-Moon. </w:t>
            </w:r>
            <w:r w:rsidRPr="00225669">
              <w:rPr>
                <w:rFonts w:eastAsia="Times New Roman" w:cs="Arial"/>
                <w:color w:val="000000"/>
                <w:sz w:val="20"/>
                <w:szCs w:val="20"/>
              </w:rPr>
              <w:t xml:space="preserve">It is expected that she would </w:t>
            </w:r>
            <w:r w:rsidR="004C4A79" w:rsidRPr="00225669">
              <w:rPr>
                <w:rFonts w:eastAsia="Times New Roman" w:cs="Arial"/>
                <w:color w:val="000000"/>
                <w:sz w:val="20"/>
                <w:szCs w:val="20"/>
              </w:rPr>
              <w:t xml:space="preserve">bring to bear </w:t>
            </w:r>
            <w:r w:rsidRPr="00225669">
              <w:rPr>
                <w:rFonts w:eastAsia="Times New Roman" w:cs="Arial"/>
                <w:color w:val="000000"/>
                <w:sz w:val="20"/>
                <w:szCs w:val="20"/>
              </w:rPr>
              <w:t xml:space="preserve">her </w:t>
            </w:r>
            <w:r w:rsidR="004C4A79" w:rsidRPr="00225669">
              <w:rPr>
                <w:rFonts w:eastAsia="Times New Roman" w:cs="Arial"/>
                <w:color w:val="000000"/>
                <w:sz w:val="20"/>
                <w:szCs w:val="20"/>
              </w:rPr>
              <w:t>e</w:t>
            </w:r>
            <w:r w:rsidRPr="00225669">
              <w:rPr>
                <w:rFonts w:eastAsia="Times New Roman" w:cs="Arial"/>
                <w:color w:val="000000"/>
                <w:sz w:val="20"/>
                <w:szCs w:val="20"/>
              </w:rPr>
              <w:t xml:space="preserve">xpertise on development issues to address the development challenges related to the environment especially in the Niger Delta region. She is said to be a </w:t>
            </w:r>
            <w:r w:rsidR="004C4A79" w:rsidRPr="00225669">
              <w:rPr>
                <w:rFonts w:eastAsia="Times New Roman" w:cs="Arial"/>
                <w:color w:val="000000"/>
                <w:sz w:val="20"/>
                <w:szCs w:val="20"/>
              </w:rPr>
              <w:t>passionate advocate on the issues of environment and development</w:t>
            </w:r>
            <w:r w:rsidRPr="00225669">
              <w:rPr>
                <w:rFonts w:eastAsia="Times New Roman" w:cs="Arial"/>
                <w:color w:val="000000"/>
                <w:sz w:val="20"/>
                <w:szCs w:val="20"/>
              </w:rPr>
              <w:t xml:space="preserve">; however, </w:t>
            </w:r>
            <w:r w:rsidR="004C4A79" w:rsidRPr="00225669">
              <w:rPr>
                <w:rFonts w:eastAsia="Times New Roman" w:cs="Arial"/>
                <w:color w:val="000000"/>
                <w:sz w:val="20"/>
                <w:szCs w:val="20"/>
              </w:rPr>
              <w:t>her ability to advocate on the issues of the Niger Delta c</w:t>
            </w:r>
            <w:r w:rsidRPr="00225669">
              <w:rPr>
                <w:rFonts w:eastAsia="Times New Roman" w:cs="Arial"/>
                <w:color w:val="000000"/>
                <w:sz w:val="20"/>
                <w:szCs w:val="20"/>
              </w:rPr>
              <w:t xml:space="preserve">ould be significantly whittled down </w:t>
            </w:r>
            <w:r w:rsidR="004C4A79" w:rsidRPr="00225669">
              <w:rPr>
                <w:rFonts w:eastAsia="Times New Roman" w:cs="Arial"/>
                <w:color w:val="000000"/>
                <w:sz w:val="20"/>
                <w:szCs w:val="20"/>
              </w:rPr>
              <w:t xml:space="preserve">if confronted with political </w:t>
            </w:r>
            <w:r w:rsidRPr="00225669">
              <w:rPr>
                <w:rFonts w:eastAsia="Times New Roman" w:cs="Arial"/>
                <w:color w:val="000000"/>
                <w:sz w:val="20"/>
                <w:szCs w:val="20"/>
              </w:rPr>
              <w:t xml:space="preserve">counter forces </w:t>
            </w:r>
            <w:r w:rsidR="004C4A79" w:rsidRPr="00225669">
              <w:rPr>
                <w:rFonts w:eastAsia="Times New Roman" w:cs="Arial"/>
                <w:color w:val="000000"/>
                <w:sz w:val="20"/>
                <w:szCs w:val="20"/>
              </w:rPr>
              <w:t>from the north.</w:t>
            </w:r>
            <w:r w:rsidRPr="00225669">
              <w:rPr>
                <w:rFonts w:eastAsia="Times New Roman" w:cs="Arial"/>
                <w:color w:val="000000"/>
                <w:sz w:val="20"/>
                <w:szCs w:val="20"/>
              </w:rPr>
              <w:t xml:space="preserve"> Her ability to navigate the political issues in the Niger Delta would also be put to test.</w:t>
            </w:r>
          </w:p>
        </w:tc>
      </w:tr>
      <w:tr w:rsidR="004C4A79" w:rsidRPr="00225669" w14:paraId="7ADEAB7E" w14:textId="77777777" w:rsidTr="00E5576D">
        <w:trPr>
          <w:trHeight w:val="353"/>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2155FF60" w14:textId="4165AC76"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1g</w:t>
            </w:r>
          </w:p>
        </w:tc>
        <w:tc>
          <w:tcPr>
            <w:tcW w:w="2126" w:type="dxa"/>
            <w:tcBorders>
              <w:top w:val="single" w:sz="4" w:space="0" w:color="auto"/>
              <w:left w:val="single" w:sz="4" w:space="0" w:color="auto"/>
              <w:bottom w:val="single" w:sz="4" w:space="0" w:color="auto"/>
            </w:tcBorders>
            <w:shd w:val="clear" w:color="000000" w:fill="FFFFFF"/>
          </w:tcPr>
          <w:p w14:paraId="7B32C842"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Honourable Minister of Transport</w:t>
            </w:r>
          </w:p>
        </w:tc>
        <w:tc>
          <w:tcPr>
            <w:tcW w:w="850" w:type="dxa"/>
            <w:tcBorders>
              <w:top w:val="single" w:sz="4" w:space="0" w:color="auto"/>
              <w:bottom w:val="single" w:sz="4" w:space="0" w:color="auto"/>
            </w:tcBorders>
            <w:shd w:val="clear" w:color="000000" w:fill="FFFFFF"/>
          </w:tcPr>
          <w:p w14:paraId="663989A1"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4861D6DB"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3B628CA5" w14:textId="77777777" w:rsidR="00E5576D" w:rsidRPr="00225669" w:rsidRDefault="00E5576D" w:rsidP="00E5576D">
            <w:pPr>
              <w:jc w:val="both"/>
              <w:rPr>
                <w:rFonts w:eastAsia="Times New Roman" w:cs="Arial"/>
                <w:color w:val="000000"/>
                <w:sz w:val="20"/>
                <w:szCs w:val="20"/>
              </w:rPr>
            </w:pPr>
            <w:r w:rsidRPr="00225669">
              <w:rPr>
                <w:rFonts w:eastAsia="Times New Roman" w:cs="Arial"/>
                <w:color w:val="000000"/>
                <w:sz w:val="20"/>
                <w:szCs w:val="20"/>
              </w:rPr>
              <w:t xml:space="preserve">Chibuike </w:t>
            </w:r>
            <w:r w:rsidR="004C4A79" w:rsidRPr="00225669">
              <w:rPr>
                <w:rFonts w:eastAsia="Times New Roman" w:cs="Arial"/>
                <w:color w:val="000000"/>
                <w:sz w:val="20"/>
                <w:szCs w:val="20"/>
              </w:rPr>
              <w:t xml:space="preserve">Rotimi Amaechi is a strong political player </w:t>
            </w:r>
            <w:r w:rsidRPr="00225669">
              <w:rPr>
                <w:rFonts w:eastAsia="Times New Roman" w:cs="Arial"/>
                <w:color w:val="000000"/>
                <w:sz w:val="20"/>
                <w:szCs w:val="20"/>
              </w:rPr>
              <w:t xml:space="preserve">in the </w:t>
            </w:r>
            <w:r w:rsidR="004C4A79" w:rsidRPr="00225669">
              <w:rPr>
                <w:rFonts w:eastAsia="Times New Roman" w:cs="Arial"/>
                <w:color w:val="000000"/>
                <w:sz w:val="20"/>
                <w:szCs w:val="20"/>
              </w:rPr>
              <w:t>Niger Delta</w:t>
            </w:r>
            <w:r w:rsidRPr="00225669">
              <w:rPr>
                <w:rFonts w:eastAsia="Times New Roman" w:cs="Arial"/>
                <w:color w:val="000000"/>
                <w:sz w:val="20"/>
                <w:szCs w:val="20"/>
              </w:rPr>
              <w:t xml:space="preserve">. He has a vast </w:t>
            </w:r>
            <w:r w:rsidR="004C4A79" w:rsidRPr="00225669">
              <w:rPr>
                <w:rFonts w:eastAsia="Times New Roman" w:cs="Arial"/>
                <w:color w:val="000000"/>
                <w:sz w:val="20"/>
                <w:szCs w:val="20"/>
              </w:rPr>
              <w:t>knowledge of the issues in the region</w:t>
            </w:r>
            <w:r w:rsidRPr="00225669">
              <w:rPr>
                <w:rFonts w:eastAsia="Times New Roman" w:cs="Arial"/>
                <w:color w:val="000000"/>
                <w:sz w:val="20"/>
                <w:szCs w:val="20"/>
              </w:rPr>
              <w:t xml:space="preserve"> having built a strong political career in the region before emerging on the national scene. He was one of the longest serving Speakers of the Rivers State Assembly before becoming a two-term Governor of the State.</w:t>
            </w:r>
          </w:p>
          <w:p w14:paraId="60AA0579" w14:textId="77777777" w:rsidR="00E5576D" w:rsidRPr="00225669" w:rsidRDefault="00E5576D" w:rsidP="00E5576D">
            <w:pPr>
              <w:jc w:val="both"/>
              <w:rPr>
                <w:rFonts w:eastAsia="Times New Roman" w:cs="Arial"/>
                <w:color w:val="000000"/>
                <w:sz w:val="20"/>
                <w:szCs w:val="20"/>
              </w:rPr>
            </w:pPr>
          </w:p>
          <w:p w14:paraId="1AD4B9EE" w14:textId="703B0FB7" w:rsidR="00E5576D" w:rsidRPr="00225669" w:rsidRDefault="00E5576D" w:rsidP="00E5576D">
            <w:pPr>
              <w:jc w:val="both"/>
              <w:rPr>
                <w:rFonts w:eastAsia="Times New Roman" w:cs="Arial"/>
                <w:color w:val="000000"/>
                <w:sz w:val="20"/>
                <w:szCs w:val="20"/>
              </w:rPr>
            </w:pPr>
            <w:r w:rsidRPr="00225669">
              <w:rPr>
                <w:rFonts w:eastAsia="Times New Roman" w:cs="Arial"/>
                <w:color w:val="000000"/>
                <w:sz w:val="20"/>
                <w:szCs w:val="20"/>
              </w:rPr>
              <w:t xml:space="preserve">With his recent overt political support for the All Progressives Congress against his former party, Peoples Democratic Party, and against the presidential candidacy of President Jonathan </w:t>
            </w:r>
            <w:r w:rsidR="00D82354" w:rsidRPr="00225669">
              <w:rPr>
                <w:rFonts w:eastAsia="Times New Roman" w:cs="Arial"/>
                <w:color w:val="000000"/>
                <w:sz w:val="20"/>
                <w:szCs w:val="20"/>
              </w:rPr>
              <w:t>(</w:t>
            </w:r>
            <w:r w:rsidRPr="00225669">
              <w:rPr>
                <w:rFonts w:eastAsia="Times New Roman" w:cs="Arial"/>
                <w:color w:val="000000"/>
                <w:sz w:val="20"/>
                <w:szCs w:val="20"/>
              </w:rPr>
              <w:t>who is also from the Niger Delta</w:t>
            </w:r>
            <w:r w:rsidR="00D82354" w:rsidRPr="00225669">
              <w:rPr>
                <w:rFonts w:eastAsia="Times New Roman" w:cs="Arial"/>
                <w:color w:val="000000"/>
                <w:sz w:val="20"/>
                <w:szCs w:val="20"/>
              </w:rPr>
              <w:t>)</w:t>
            </w:r>
            <w:r w:rsidRPr="00225669">
              <w:rPr>
                <w:rFonts w:eastAsia="Times New Roman" w:cs="Arial"/>
                <w:color w:val="000000"/>
                <w:sz w:val="20"/>
                <w:szCs w:val="20"/>
              </w:rPr>
              <w:t>, Mr. Amaechi has shown that he is comfortable being independent minded</w:t>
            </w:r>
            <w:r w:rsidR="00D82354" w:rsidRPr="00225669">
              <w:rPr>
                <w:rFonts w:eastAsia="Times New Roman" w:cs="Arial"/>
                <w:color w:val="000000"/>
                <w:sz w:val="20"/>
                <w:szCs w:val="20"/>
              </w:rPr>
              <w:t xml:space="preserve"> and swimming against the tide</w:t>
            </w:r>
            <w:r w:rsidRPr="00225669">
              <w:rPr>
                <w:rFonts w:eastAsia="Times New Roman" w:cs="Arial"/>
                <w:color w:val="000000"/>
                <w:sz w:val="20"/>
                <w:szCs w:val="20"/>
              </w:rPr>
              <w:t>.</w:t>
            </w:r>
          </w:p>
          <w:p w14:paraId="5BE81B76" w14:textId="77777777" w:rsidR="00E5576D" w:rsidRPr="00225669" w:rsidRDefault="00E5576D" w:rsidP="00E5576D">
            <w:pPr>
              <w:jc w:val="both"/>
              <w:rPr>
                <w:rFonts w:eastAsia="Times New Roman" w:cs="Arial"/>
                <w:color w:val="000000"/>
                <w:sz w:val="20"/>
                <w:szCs w:val="20"/>
              </w:rPr>
            </w:pPr>
          </w:p>
          <w:p w14:paraId="6C7C6294" w14:textId="43C69343" w:rsidR="004C4A79" w:rsidRPr="00225669" w:rsidRDefault="00D82354" w:rsidP="00D82354">
            <w:pPr>
              <w:jc w:val="both"/>
              <w:rPr>
                <w:rFonts w:eastAsia="Times New Roman" w:cs="Arial"/>
                <w:color w:val="000000"/>
                <w:sz w:val="20"/>
                <w:szCs w:val="20"/>
              </w:rPr>
            </w:pPr>
            <w:r w:rsidRPr="00225669">
              <w:rPr>
                <w:rFonts w:eastAsia="Times New Roman" w:cs="Arial"/>
                <w:color w:val="000000"/>
                <w:sz w:val="20"/>
                <w:szCs w:val="20"/>
              </w:rPr>
              <w:t xml:space="preserve">Mr. Amaechi is </w:t>
            </w:r>
            <w:r w:rsidR="004C4A79" w:rsidRPr="00225669">
              <w:rPr>
                <w:rFonts w:eastAsia="Times New Roman" w:cs="Arial"/>
                <w:color w:val="000000"/>
                <w:sz w:val="20"/>
                <w:szCs w:val="20"/>
              </w:rPr>
              <w:t xml:space="preserve">a strong force in the </w:t>
            </w:r>
            <w:r w:rsidRPr="00225669">
              <w:rPr>
                <w:rFonts w:eastAsia="Times New Roman" w:cs="Arial"/>
                <w:color w:val="000000"/>
                <w:sz w:val="20"/>
                <w:szCs w:val="20"/>
              </w:rPr>
              <w:t xml:space="preserve">Niger Delta </w:t>
            </w:r>
            <w:r w:rsidR="004C4A79" w:rsidRPr="00225669">
              <w:rPr>
                <w:rFonts w:eastAsia="Times New Roman" w:cs="Arial"/>
                <w:color w:val="000000"/>
                <w:sz w:val="20"/>
                <w:szCs w:val="20"/>
              </w:rPr>
              <w:t>and committed to d</w:t>
            </w:r>
            <w:r w:rsidRPr="00225669">
              <w:rPr>
                <w:rFonts w:eastAsia="Times New Roman" w:cs="Arial"/>
                <w:color w:val="000000"/>
                <w:sz w:val="20"/>
                <w:szCs w:val="20"/>
              </w:rPr>
              <w:t>evelopment issues in the region,</w:t>
            </w:r>
            <w:r w:rsidR="004C4A79" w:rsidRPr="00225669">
              <w:rPr>
                <w:rFonts w:eastAsia="Times New Roman" w:cs="Arial"/>
                <w:color w:val="000000"/>
                <w:sz w:val="20"/>
                <w:szCs w:val="20"/>
              </w:rPr>
              <w:t xml:space="preserve"> </w:t>
            </w:r>
            <w:r w:rsidRPr="00225669">
              <w:rPr>
                <w:rFonts w:eastAsia="Times New Roman" w:cs="Arial"/>
                <w:color w:val="000000"/>
                <w:sz w:val="20"/>
                <w:szCs w:val="20"/>
              </w:rPr>
              <w:t xml:space="preserve">although his political actions can become divisive. However, </w:t>
            </w:r>
            <w:r w:rsidR="004C4A79" w:rsidRPr="00225669">
              <w:rPr>
                <w:rFonts w:eastAsia="Times New Roman" w:cs="Arial"/>
                <w:color w:val="000000"/>
                <w:sz w:val="20"/>
                <w:szCs w:val="20"/>
              </w:rPr>
              <w:t>considering that transport</w:t>
            </w:r>
            <w:r w:rsidRPr="00225669">
              <w:rPr>
                <w:rFonts w:eastAsia="Times New Roman" w:cs="Arial"/>
                <w:color w:val="000000"/>
                <w:sz w:val="20"/>
                <w:szCs w:val="20"/>
              </w:rPr>
              <w:t>ation</w:t>
            </w:r>
            <w:r w:rsidR="004C4A79" w:rsidRPr="00225669">
              <w:rPr>
                <w:rFonts w:eastAsia="Times New Roman" w:cs="Arial"/>
                <w:color w:val="000000"/>
                <w:sz w:val="20"/>
                <w:szCs w:val="20"/>
              </w:rPr>
              <w:t xml:space="preserve"> and road infrastructure are essential </w:t>
            </w:r>
            <w:r w:rsidRPr="00225669">
              <w:rPr>
                <w:rFonts w:eastAsia="Times New Roman" w:cs="Arial"/>
                <w:color w:val="000000"/>
                <w:sz w:val="20"/>
                <w:szCs w:val="20"/>
              </w:rPr>
              <w:t xml:space="preserve">prerequisites for </w:t>
            </w:r>
            <w:r w:rsidR="004C4A79" w:rsidRPr="00225669">
              <w:rPr>
                <w:rFonts w:eastAsia="Times New Roman" w:cs="Arial"/>
                <w:color w:val="000000"/>
                <w:sz w:val="20"/>
                <w:szCs w:val="20"/>
              </w:rPr>
              <w:t>development of the region</w:t>
            </w:r>
            <w:r w:rsidRPr="00225669">
              <w:rPr>
                <w:rFonts w:eastAsia="Times New Roman" w:cs="Arial"/>
                <w:color w:val="000000"/>
                <w:sz w:val="20"/>
                <w:szCs w:val="20"/>
              </w:rPr>
              <w:t>. Mr. Amaechi is expected to have a</w:t>
            </w:r>
            <w:r w:rsidR="004C4A79" w:rsidRPr="00225669">
              <w:rPr>
                <w:rFonts w:eastAsia="Times New Roman" w:cs="Arial"/>
                <w:color w:val="000000"/>
                <w:sz w:val="20"/>
                <w:szCs w:val="20"/>
              </w:rPr>
              <w:t xml:space="preserve"> strong leverage to influence the development process in the region.</w:t>
            </w:r>
          </w:p>
        </w:tc>
      </w:tr>
      <w:tr w:rsidR="004C4A79" w:rsidRPr="00225669" w14:paraId="4E1FEF0C" w14:textId="77777777" w:rsidTr="00E5576D">
        <w:trPr>
          <w:trHeight w:val="353"/>
        </w:trPr>
        <w:tc>
          <w:tcPr>
            <w:tcW w:w="568" w:type="dxa"/>
            <w:tcBorders>
              <w:top w:val="single" w:sz="4" w:space="0" w:color="auto"/>
              <w:left w:val="single" w:sz="18" w:space="0" w:color="auto"/>
              <w:bottom w:val="single" w:sz="4" w:space="0" w:color="auto"/>
              <w:right w:val="single" w:sz="4" w:space="0" w:color="auto"/>
            </w:tcBorders>
            <w:shd w:val="clear" w:color="000000" w:fill="FFFFFF"/>
          </w:tcPr>
          <w:p w14:paraId="4B65F7FC" w14:textId="6DED92EF"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1h</w:t>
            </w:r>
          </w:p>
        </w:tc>
        <w:tc>
          <w:tcPr>
            <w:tcW w:w="2126" w:type="dxa"/>
            <w:tcBorders>
              <w:top w:val="single" w:sz="4" w:space="0" w:color="auto"/>
              <w:left w:val="single" w:sz="4" w:space="0" w:color="auto"/>
              <w:bottom w:val="single" w:sz="4" w:space="0" w:color="auto"/>
            </w:tcBorders>
            <w:shd w:val="clear" w:color="000000" w:fill="FFFFFF"/>
          </w:tcPr>
          <w:p w14:paraId="21E75817"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Minister of Petroleum Resources</w:t>
            </w:r>
          </w:p>
        </w:tc>
        <w:tc>
          <w:tcPr>
            <w:tcW w:w="850" w:type="dxa"/>
            <w:tcBorders>
              <w:top w:val="single" w:sz="4" w:space="0" w:color="auto"/>
              <w:bottom w:val="single" w:sz="4" w:space="0" w:color="auto"/>
            </w:tcBorders>
            <w:shd w:val="clear" w:color="000000" w:fill="FFFFFF"/>
          </w:tcPr>
          <w:p w14:paraId="432B2027"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4" w:space="0" w:color="auto"/>
              <w:right w:val="single" w:sz="4" w:space="0" w:color="auto"/>
            </w:tcBorders>
            <w:shd w:val="clear" w:color="000000" w:fill="FFFFFF"/>
          </w:tcPr>
          <w:p w14:paraId="687D620A"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4" w:space="0" w:color="auto"/>
              <w:right w:val="single" w:sz="18" w:space="0" w:color="auto"/>
            </w:tcBorders>
            <w:shd w:val="clear" w:color="000000" w:fill="FFFFFF"/>
          </w:tcPr>
          <w:p w14:paraId="2D270CB9" w14:textId="61B659A4" w:rsidR="004C4A79" w:rsidRPr="00225669" w:rsidRDefault="004C4A79" w:rsidP="0094175C">
            <w:pPr>
              <w:jc w:val="both"/>
              <w:rPr>
                <w:rFonts w:eastAsia="Times New Roman" w:cs="Arial"/>
                <w:color w:val="000000"/>
                <w:sz w:val="20"/>
                <w:szCs w:val="20"/>
              </w:rPr>
            </w:pPr>
            <w:r w:rsidRPr="00225669">
              <w:rPr>
                <w:rFonts w:eastAsia="Times New Roman" w:cs="Arial"/>
                <w:color w:val="000000"/>
                <w:sz w:val="20"/>
                <w:szCs w:val="20"/>
              </w:rPr>
              <w:t xml:space="preserve">President </w:t>
            </w:r>
            <w:r w:rsidR="0094175C" w:rsidRPr="00225669">
              <w:rPr>
                <w:rFonts w:eastAsia="Times New Roman" w:cs="Arial"/>
                <w:color w:val="000000"/>
                <w:sz w:val="20"/>
                <w:szCs w:val="20"/>
              </w:rPr>
              <w:t xml:space="preserve">Mohammadu </w:t>
            </w:r>
            <w:r w:rsidRPr="00225669">
              <w:rPr>
                <w:rFonts w:eastAsia="Times New Roman" w:cs="Arial"/>
                <w:color w:val="000000"/>
                <w:sz w:val="20"/>
                <w:szCs w:val="20"/>
              </w:rPr>
              <w:t>Buhari</w:t>
            </w:r>
            <w:r w:rsidR="0094175C" w:rsidRPr="00225669">
              <w:rPr>
                <w:rFonts w:eastAsia="Times New Roman" w:cs="Arial"/>
                <w:color w:val="000000"/>
                <w:sz w:val="20"/>
                <w:szCs w:val="20"/>
              </w:rPr>
              <w:t xml:space="preserve"> is the </w:t>
            </w:r>
            <w:r w:rsidRPr="00225669">
              <w:rPr>
                <w:rFonts w:eastAsia="Times New Roman" w:cs="Arial"/>
                <w:color w:val="000000"/>
                <w:sz w:val="20"/>
                <w:szCs w:val="20"/>
              </w:rPr>
              <w:t xml:space="preserve">Minister of Petroleum </w:t>
            </w:r>
            <w:r w:rsidR="0094175C" w:rsidRPr="00225669">
              <w:rPr>
                <w:rFonts w:eastAsia="Times New Roman" w:cs="Arial"/>
                <w:color w:val="000000"/>
                <w:sz w:val="20"/>
                <w:szCs w:val="20"/>
              </w:rPr>
              <w:t xml:space="preserve">Resources. (See comments above). He </w:t>
            </w:r>
            <w:r w:rsidRPr="00225669">
              <w:rPr>
                <w:rFonts w:eastAsia="Times New Roman" w:cs="Arial"/>
                <w:color w:val="000000"/>
                <w:sz w:val="20"/>
                <w:szCs w:val="20"/>
              </w:rPr>
              <w:t xml:space="preserve">has vast knowledge of the petroleum industry and consequently </w:t>
            </w:r>
            <w:r w:rsidR="0094175C" w:rsidRPr="00225669">
              <w:rPr>
                <w:rFonts w:eastAsia="Times New Roman" w:cs="Arial"/>
                <w:color w:val="000000"/>
                <w:sz w:val="20"/>
                <w:szCs w:val="20"/>
              </w:rPr>
              <w:t xml:space="preserve">should have a strong interest in stabilised security conditions and </w:t>
            </w:r>
            <w:r w:rsidRPr="00225669">
              <w:rPr>
                <w:rFonts w:eastAsia="Times New Roman" w:cs="Arial"/>
                <w:color w:val="000000"/>
                <w:sz w:val="20"/>
                <w:szCs w:val="20"/>
              </w:rPr>
              <w:t xml:space="preserve">development </w:t>
            </w:r>
            <w:r w:rsidR="0094175C" w:rsidRPr="00225669">
              <w:rPr>
                <w:rFonts w:eastAsia="Times New Roman" w:cs="Arial"/>
                <w:color w:val="000000"/>
                <w:sz w:val="20"/>
                <w:szCs w:val="20"/>
              </w:rPr>
              <w:t>of</w:t>
            </w:r>
            <w:r w:rsidRPr="00225669">
              <w:rPr>
                <w:rFonts w:eastAsia="Times New Roman" w:cs="Arial"/>
                <w:color w:val="000000"/>
                <w:sz w:val="20"/>
                <w:szCs w:val="20"/>
              </w:rPr>
              <w:t xml:space="preserve"> the Niger Delta</w:t>
            </w:r>
            <w:r w:rsidR="0094175C" w:rsidRPr="00225669">
              <w:rPr>
                <w:rFonts w:eastAsia="Times New Roman" w:cs="Arial"/>
                <w:color w:val="000000"/>
                <w:sz w:val="20"/>
                <w:szCs w:val="20"/>
              </w:rPr>
              <w:t xml:space="preserve"> region</w:t>
            </w:r>
            <w:r w:rsidRPr="00225669">
              <w:rPr>
                <w:rFonts w:eastAsia="Times New Roman" w:cs="Arial"/>
                <w:color w:val="000000"/>
                <w:sz w:val="20"/>
                <w:szCs w:val="20"/>
              </w:rPr>
              <w:t>.</w:t>
            </w:r>
          </w:p>
        </w:tc>
      </w:tr>
      <w:tr w:rsidR="004C4A79" w:rsidRPr="00225669" w14:paraId="0067206C" w14:textId="77777777" w:rsidTr="00265776">
        <w:trPr>
          <w:trHeight w:val="353"/>
        </w:trPr>
        <w:tc>
          <w:tcPr>
            <w:tcW w:w="568" w:type="dxa"/>
            <w:tcBorders>
              <w:top w:val="single" w:sz="4" w:space="0" w:color="auto"/>
              <w:left w:val="single" w:sz="18" w:space="0" w:color="auto"/>
              <w:bottom w:val="single" w:sz="18" w:space="0" w:color="auto"/>
              <w:right w:val="single" w:sz="4" w:space="0" w:color="auto"/>
            </w:tcBorders>
            <w:shd w:val="clear" w:color="000000" w:fill="FFFFFF"/>
          </w:tcPr>
          <w:p w14:paraId="3A227108" w14:textId="5EFC2F62"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1i</w:t>
            </w:r>
          </w:p>
        </w:tc>
        <w:tc>
          <w:tcPr>
            <w:tcW w:w="2126" w:type="dxa"/>
            <w:tcBorders>
              <w:top w:val="single" w:sz="4" w:space="0" w:color="auto"/>
              <w:left w:val="single" w:sz="4" w:space="0" w:color="auto"/>
              <w:bottom w:val="single" w:sz="18" w:space="0" w:color="auto"/>
            </w:tcBorders>
            <w:shd w:val="clear" w:color="000000" w:fill="FFFFFF"/>
          </w:tcPr>
          <w:p w14:paraId="5657194B"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Minister of State, Federal Ministry of Petroleum Resources</w:t>
            </w:r>
          </w:p>
        </w:tc>
        <w:tc>
          <w:tcPr>
            <w:tcW w:w="850" w:type="dxa"/>
            <w:tcBorders>
              <w:top w:val="single" w:sz="4" w:space="0" w:color="auto"/>
              <w:bottom w:val="single" w:sz="18" w:space="0" w:color="auto"/>
            </w:tcBorders>
            <w:shd w:val="clear" w:color="000000" w:fill="FFFFFF"/>
          </w:tcPr>
          <w:p w14:paraId="667246D5" w14:textId="77777777" w:rsidR="004C4A79" w:rsidRPr="00225669" w:rsidRDefault="004C4A79" w:rsidP="004C4A79">
            <w:pPr>
              <w:jc w:val="center"/>
              <w:rPr>
                <w:rFonts w:eastAsia="Times New Roman" w:cs="Arial"/>
                <w:color w:val="000000"/>
                <w:sz w:val="20"/>
                <w:szCs w:val="20"/>
              </w:rPr>
            </w:pPr>
          </w:p>
        </w:tc>
        <w:tc>
          <w:tcPr>
            <w:tcW w:w="993" w:type="dxa"/>
            <w:tcBorders>
              <w:top w:val="single" w:sz="4" w:space="0" w:color="auto"/>
              <w:bottom w:val="single" w:sz="18" w:space="0" w:color="auto"/>
              <w:right w:val="single" w:sz="4" w:space="0" w:color="auto"/>
            </w:tcBorders>
            <w:shd w:val="clear" w:color="000000" w:fill="FFFFFF"/>
          </w:tcPr>
          <w:p w14:paraId="49144B7F" w14:textId="77777777" w:rsidR="004C4A79" w:rsidRPr="00225669" w:rsidRDefault="004C4A79" w:rsidP="004C4A79">
            <w:pPr>
              <w:jc w:val="center"/>
              <w:rPr>
                <w:rFonts w:eastAsia="Times New Roman" w:cs="Arial"/>
                <w:color w:val="000000"/>
                <w:sz w:val="20"/>
                <w:szCs w:val="20"/>
              </w:rPr>
            </w:pPr>
          </w:p>
        </w:tc>
        <w:tc>
          <w:tcPr>
            <w:tcW w:w="10285" w:type="dxa"/>
            <w:tcBorders>
              <w:top w:val="single" w:sz="4" w:space="0" w:color="auto"/>
              <w:left w:val="single" w:sz="4" w:space="0" w:color="auto"/>
              <w:bottom w:val="single" w:sz="18" w:space="0" w:color="auto"/>
              <w:right w:val="single" w:sz="18" w:space="0" w:color="auto"/>
            </w:tcBorders>
            <w:shd w:val="clear" w:color="000000" w:fill="FFFFFF"/>
          </w:tcPr>
          <w:p w14:paraId="04A03CCC" w14:textId="366B2FF6" w:rsidR="000E5759" w:rsidRPr="00225669" w:rsidRDefault="004C4A79" w:rsidP="000E5759">
            <w:pPr>
              <w:jc w:val="both"/>
              <w:rPr>
                <w:rFonts w:eastAsia="Times New Roman" w:cs="Arial"/>
                <w:color w:val="000000"/>
                <w:sz w:val="20"/>
                <w:szCs w:val="20"/>
              </w:rPr>
            </w:pPr>
            <w:r w:rsidRPr="00225669">
              <w:rPr>
                <w:rFonts w:eastAsia="Times New Roman" w:cs="Arial"/>
                <w:color w:val="000000"/>
                <w:sz w:val="20"/>
                <w:szCs w:val="20"/>
              </w:rPr>
              <w:t xml:space="preserve">Kachukwu Ibe is very </w:t>
            </w:r>
            <w:r w:rsidR="00802817" w:rsidRPr="00225669">
              <w:rPr>
                <w:rFonts w:eastAsia="Times New Roman" w:cs="Arial"/>
                <w:color w:val="000000"/>
                <w:sz w:val="20"/>
                <w:szCs w:val="20"/>
              </w:rPr>
              <w:t xml:space="preserve">technically </w:t>
            </w:r>
            <w:r w:rsidRPr="00225669">
              <w:rPr>
                <w:rFonts w:eastAsia="Times New Roman" w:cs="Arial"/>
                <w:color w:val="000000"/>
                <w:sz w:val="20"/>
                <w:szCs w:val="20"/>
              </w:rPr>
              <w:t xml:space="preserve">competent and knowledgeable about the </w:t>
            </w:r>
            <w:r w:rsidR="00802817" w:rsidRPr="00225669">
              <w:rPr>
                <w:rFonts w:eastAsia="Times New Roman" w:cs="Arial"/>
                <w:color w:val="000000"/>
                <w:sz w:val="20"/>
                <w:szCs w:val="20"/>
              </w:rPr>
              <w:t>petroleum</w:t>
            </w:r>
            <w:r w:rsidRPr="00225669">
              <w:rPr>
                <w:rFonts w:eastAsia="Times New Roman" w:cs="Arial"/>
                <w:color w:val="000000"/>
                <w:sz w:val="20"/>
                <w:szCs w:val="20"/>
              </w:rPr>
              <w:t xml:space="preserve"> industry. His expertise </w:t>
            </w:r>
            <w:r w:rsidR="00802817" w:rsidRPr="00225669">
              <w:rPr>
                <w:rFonts w:eastAsia="Times New Roman" w:cs="Arial"/>
                <w:color w:val="000000"/>
                <w:sz w:val="20"/>
                <w:szCs w:val="20"/>
              </w:rPr>
              <w:t xml:space="preserve">would </w:t>
            </w:r>
            <w:r w:rsidR="000E5759" w:rsidRPr="00225669">
              <w:rPr>
                <w:rFonts w:eastAsia="Times New Roman" w:cs="Arial"/>
                <w:color w:val="000000"/>
                <w:sz w:val="20"/>
                <w:szCs w:val="20"/>
              </w:rPr>
              <w:t xml:space="preserve">be critical in </w:t>
            </w:r>
            <w:r w:rsidRPr="00225669">
              <w:rPr>
                <w:rFonts w:eastAsia="Times New Roman" w:cs="Arial"/>
                <w:color w:val="000000"/>
                <w:sz w:val="20"/>
                <w:szCs w:val="20"/>
              </w:rPr>
              <w:t xml:space="preserve">driving policies </w:t>
            </w:r>
            <w:r w:rsidR="000E5759" w:rsidRPr="00225669">
              <w:rPr>
                <w:rFonts w:eastAsia="Times New Roman" w:cs="Arial"/>
                <w:color w:val="000000"/>
                <w:sz w:val="20"/>
                <w:szCs w:val="20"/>
              </w:rPr>
              <w:t xml:space="preserve">for the development of the </w:t>
            </w:r>
            <w:r w:rsidRPr="00225669">
              <w:rPr>
                <w:rFonts w:eastAsia="Times New Roman" w:cs="Arial"/>
                <w:color w:val="000000"/>
                <w:sz w:val="20"/>
                <w:szCs w:val="20"/>
              </w:rPr>
              <w:t>oil sector.</w:t>
            </w:r>
          </w:p>
          <w:p w14:paraId="174E8383" w14:textId="77777777" w:rsidR="000E5759" w:rsidRPr="00225669" w:rsidRDefault="000E5759" w:rsidP="000E5759">
            <w:pPr>
              <w:jc w:val="both"/>
              <w:rPr>
                <w:rFonts w:eastAsia="Times New Roman" w:cs="Arial"/>
                <w:color w:val="000000"/>
                <w:sz w:val="20"/>
                <w:szCs w:val="20"/>
              </w:rPr>
            </w:pPr>
          </w:p>
          <w:p w14:paraId="6F8BB6A3" w14:textId="35F416C0" w:rsidR="000E5759" w:rsidRPr="00225669" w:rsidRDefault="000E5759" w:rsidP="000E5759">
            <w:pPr>
              <w:jc w:val="both"/>
              <w:rPr>
                <w:rFonts w:eastAsia="Times New Roman" w:cs="Arial"/>
                <w:color w:val="000000"/>
                <w:sz w:val="20"/>
                <w:szCs w:val="20"/>
              </w:rPr>
            </w:pPr>
            <w:r w:rsidRPr="00225669">
              <w:rPr>
                <w:rFonts w:eastAsia="Times New Roman" w:cs="Arial"/>
                <w:color w:val="000000"/>
                <w:sz w:val="20"/>
                <w:szCs w:val="20"/>
              </w:rPr>
              <w:t>Being from the Niger Delta, he is expected to have an interest in the development of the region. However, he may lack a credible political base in the region for navigating issues of regional development.</w:t>
            </w:r>
          </w:p>
          <w:p w14:paraId="07B193B1" w14:textId="77777777" w:rsidR="000E5759" w:rsidRPr="00225669" w:rsidRDefault="000E5759" w:rsidP="000E5759">
            <w:pPr>
              <w:jc w:val="both"/>
              <w:rPr>
                <w:rFonts w:eastAsia="Times New Roman" w:cs="Arial"/>
                <w:color w:val="000000"/>
                <w:sz w:val="20"/>
                <w:szCs w:val="20"/>
              </w:rPr>
            </w:pPr>
          </w:p>
          <w:p w14:paraId="2AA1131E" w14:textId="220B9394" w:rsidR="004C4A79" w:rsidRPr="00225669" w:rsidRDefault="00802817" w:rsidP="000E5759">
            <w:pPr>
              <w:jc w:val="both"/>
              <w:rPr>
                <w:rFonts w:eastAsia="Times New Roman" w:cs="Arial"/>
                <w:color w:val="000000"/>
                <w:sz w:val="20"/>
                <w:szCs w:val="20"/>
              </w:rPr>
            </w:pPr>
            <w:r w:rsidRPr="00225669">
              <w:rPr>
                <w:rFonts w:eastAsia="Times New Roman" w:cs="Arial"/>
                <w:color w:val="000000"/>
                <w:sz w:val="20"/>
                <w:szCs w:val="20"/>
              </w:rPr>
              <w:t xml:space="preserve">In addition to being the Minister of State at the Federal Ministry of Petroleum Resources, he is also the Group Managing Director (GMD) of Nigeria National Petroleum Corporation (NNPC). At the time of his appointment as Minister of State, there was </w:t>
            </w:r>
            <w:r w:rsidR="00A71550" w:rsidRPr="00225669">
              <w:rPr>
                <w:rFonts w:eastAsia="Times New Roman" w:cs="Arial"/>
                <w:color w:val="000000"/>
                <w:sz w:val="20"/>
                <w:szCs w:val="20"/>
              </w:rPr>
              <w:t>an insinuation</w:t>
            </w:r>
            <w:r w:rsidRPr="00225669">
              <w:rPr>
                <w:rFonts w:eastAsia="Times New Roman" w:cs="Arial"/>
                <w:color w:val="000000"/>
                <w:sz w:val="20"/>
                <w:szCs w:val="20"/>
              </w:rPr>
              <w:t xml:space="preserve"> that he was likely to be relieved of his position as GMD of </w:t>
            </w:r>
            <w:r w:rsidR="00A71550" w:rsidRPr="00225669">
              <w:rPr>
                <w:rFonts w:eastAsia="Times New Roman" w:cs="Arial"/>
                <w:color w:val="000000"/>
                <w:sz w:val="20"/>
                <w:szCs w:val="20"/>
              </w:rPr>
              <w:t>NNPC that</w:t>
            </w:r>
            <w:r w:rsidRPr="00225669">
              <w:rPr>
                <w:rFonts w:eastAsia="Times New Roman" w:cs="Arial"/>
                <w:color w:val="000000"/>
                <w:sz w:val="20"/>
                <w:szCs w:val="20"/>
              </w:rPr>
              <w:t xml:space="preserve"> is considered to be a more politically attractive position. The insinuation is that the post of GMD may be given to someone from the Northern part of the country.</w:t>
            </w:r>
          </w:p>
        </w:tc>
      </w:tr>
      <w:tr w:rsidR="004C4A79" w:rsidRPr="00225669" w14:paraId="336A240A" w14:textId="77777777" w:rsidTr="00265776">
        <w:trPr>
          <w:trHeight w:val="254"/>
        </w:trPr>
        <w:tc>
          <w:tcPr>
            <w:tcW w:w="568" w:type="dxa"/>
            <w:tcBorders>
              <w:top w:val="single" w:sz="18" w:space="0" w:color="auto"/>
              <w:left w:val="single" w:sz="18" w:space="0" w:color="auto"/>
              <w:bottom w:val="single" w:sz="6" w:space="0" w:color="auto"/>
              <w:right w:val="single" w:sz="6" w:space="0" w:color="auto"/>
            </w:tcBorders>
            <w:shd w:val="clear" w:color="000000" w:fill="FFFFFF"/>
            <w:hideMark/>
          </w:tcPr>
          <w:p w14:paraId="0F537D65" w14:textId="61BE7C9F"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2</w:t>
            </w:r>
          </w:p>
        </w:tc>
        <w:tc>
          <w:tcPr>
            <w:tcW w:w="2126" w:type="dxa"/>
            <w:tcBorders>
              <w:top w:val="single" w:sz="18" w:space="0" w:color="auto"/>
              <w:left w:val="single" w:sz="6" w:space="0" w:color="auto"/>
              <w:bottom w:val="single" w:sz="6" w:space="0" w:color="auto"/>
              <w:right w:val="single" w:sz="6" w:space="0" w:color="auto"/>
            </w:tcBorders>
            <w:shd w:val="clear" w:color="000000" w:fill="FFFFFF"/>
            <w:hideMark/>
          </w:tcPr>
          <w:p w14:paraId="10FE3AFA"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Nigeria National Petroleum Corporation</w:t>
            </w:r>
          </w:p>
        </w:tc>
        <w:tc>
          <w:tcPr>
            <w:tcW w:w="850" w:type="dxa"/>
            <w:tcBorders>
              <w:top w:val="single" w:sz="18" w:space="0" w:color="auto"/>
              <w:left w:val="single" w:sz="6" w:space="0" w:color="auto"/>
              <w:bottom w:val="single" w:sz="6" w:space="0" w:color="auto"/>
              <w:right w:val="single" w:sz="6" w:space="0" w:color="auto"/>
            </w:tcBorders>
            <w:shd w:val="clear" w:color="000000" w:fill="FFFFFF"/>
            <w:hideMark/>
          </w:tcPr>
          <w:p w14:paraId="04293BE8"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4</w:t>
            </w:r>
          </w:p>
        </w:tc>
        <w:tc>
          <w:tcPr>
            <w:tcW w:w="993" w:type="dxa"/>
            <w:tcBorders>
              <w:top w:val="single" w:sz="18" w:space="0" w:color="auto"/>
              <w:left w:val="single" w:sz="6" w:space="0" w:color="auto"/>
              <w:bottom w:val="single" w:sz="6" w:space="0" w:color="auto"/>
              <w:right w:val="single" w:sz="6" w:space="0" w:color="auto"/>
            </w:tcBorders>
            <w:shd w:val="clear" w:color="000000" w:fill="FFFFFF"/>
            <w:hideMark/>
          </w:tcPr>
          <w:p w14:paraId="3CEBE9F6"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9</w:t>
            </w:r>
          </w:p>
        </w:tc>
        <w:tc>
          <w:tcPr>
            <w:tcW w:w="10285" w:type="dxa"/>
            <w:tcBorders>
              <w:top w:val="single" w:sz="18" w:space="0" w:color="auto"/>
              <w:left w:val="single" w:sz="6" w:space="0" w:color="auto"/>
              <w:bottom w:val="single" w:sz="6" w:space="0" w:color="auto"/>
              <w:right w:val="single" w:sz="18" w:space="0" w:color="auto"/>
            </w:tcBorders>
            <w:shd w:val="clear" w:color="000000" w:fill="FFFFFF"/>
            <w:hideMark/>
          </w:tcPr>
          <w:p w14:paraId="417B549F"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The NNPC and Federal Ministry of Petroleum Resources have high interest in the development of the Niger Delta region mainly because of the  productive assets  and investments it has in the region and the need to protect these assets and investment to support its operations. For instance in 2012, NNPC was reported to have awarded a total of about US$38.6 million dollars to some ex-militant leaders as pipeline security contracts.</w:t>
            </w:r>
          </w:p>
        </w:tc>
      </w:tr>
      <w:tr w:rsidR="004C4A79" w:rsidRPr="00225669" w14:paraId="70D52453" w14:textId="77777777" w:rsidTr="002B7314">
        <w:trPr>
          <w:trHeight w:val="655"/>
        </w:trPr>
        <w:tc>
          <w:tcPr>
            <w:tcW w:w="568" w:type="dxa"/>
            <w:tcBorders>
              <w:top w:val="single" w:sz="6" w:space="0" w:color="auto"/>
              <w:left w:val="single" w:sz="18" w:space="0" w:color="auto"/>
              <w:bottom w:val="single" w:sz="18" w:space="0" w:color="auto"/>
              <w:right w:val="single" w:sz="6" w:space="0" w:color="auto"/>
            </w:tcBorders>
            <w:shd w:val="clear" w:color="000000" w:fill="FFFFFF"/>
          </w:tcPr>
          <w:p w14:paraId="09F56A07" w14:textId="0BB2A49C"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2a</w:t>
            </w:r>
          </w:p>
        </w:tc>
        <w:tc>
          <w:tcPr>
            <w:tcW w:w="2126" w:type="dxa"/>
            <w:tcBorders>
              <w:top w:val="single" w:sz="6" w:space="0" w:color="auto"/>
              <w:left w:val="single" w:sz="6" w:space="0" w:color="auto"/>
              <w:bottom w:val="single" w:sz="18" w:space="0" w:color="auto"/>
            </w:tcBorders>
            <w:shd w:val="clear" w:color="000000" w:fill="FFFFFF"/>
          </w:tcPr>
          <w:p w14:paraId="26F15294"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Group Managing Director, Nigeria National Petroleum Corporation</w:t>
            </w:r>
          </w:p>
        </w:tc>
        <w:tc>
          <w:tcPr>
            <w:tcW w:w="850" w:type="dxa"/>
            <w:tcBorders>
              <w:top w:val="single" w:sz="6" w:space="0" w:color="auto"/>
              <w:bottom w:val="single" w:sz="18" w:space="0" w:color="auto"/>
            </w:tcBorders>
            <w:shd w:val="clear" w:color="000000" w:fill="FFFFFF"/>
          </w:tcPr>
          <w:p w14:paraId="12F9CEE9"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18" w:space="0" w:color="auto"/>
              <w:right w:val="single" w:sz="6" w:space="0" w:color="auto"/>
            </w:tcBorders>
            <w:shd w:val="clear" w:color="000000" w:fill="FFFFFF"/>
          </w:tcPr>
          <w:p w14:paraId="14837DA4"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18" w:space="0" w:color="auto"/>
              <w:right w:val="single" w:sz="18" w:space="0" w:color="auto"/>
            </w:tcBorders>
            <w:shd w:val="clear" w:color="000000" w:fill="FFFFFF"/>
          </w:tcPr>
          <w:p w14:paraId="1377AA83" w14:textId="24F9AFEC" w:rsidR="004C4A79" w:rsidRPr="00225669" w:rsidRDefault="002B7314" w:rsidP="001B2A40">
            <w:pPr>
              <w:jc w:val="both"/>
              <w:rPr>
                <w:rFonts w:eastAsia="Times New Roman" w:cs="Arial"/>
                <w:color w:val="000000"/>
                <w:sz w:val="20"/>
                <w:szCs w:val="20"/>
              </w:rPr>
            </w:pPr>
            <w:r w:rsidRPr="00225669">
              <w:rPr>
                <w:rFonts w:eastAsia="Times New Roman" w:cs="Arial"/>
                <w:color w:val="000000"/>
                <w:sz w:val="20"/>
                <w:szCs w:val="20"/>
              </w:rPr>
              <w:t>See 1i above</w:t>
            </w:r>
          </w:p>
        </w:tc>
      </w:tr>
      <w:tr w:rsidR="004C4A79" w:rsidRPr="00225669" w14:paraId="7B2ECB9D" w14:textId="77777777" w:rsidTr="002B7314">
        <w:trPr>
          <w:trHeight w:val="565"/>
        </w:trPr>
        <w:tc>
          <w:tcPr>
            <w:tcW w:w="568" w:type="dxa"/>
            <w:tcBorders>
              <w:top w:val="single" w:sz="18" w:space="0" w:color="auto"/>
              <w:left w:val="single" w:sz="18" w:space="0" w:color="auto"/>
              <w:bottom w:val="single" w:sz="6" w:space="0" w:color="auto"/>
              <w:right w:val="single" w:sz="6" w:space="0" w:color="auto"/>
            </w:tcBorders>
            <w:shd w:val="clear" w:color="000000" w:fill="FFFFFF"/>
            <w:hideMark/>
          </w:tcPr>
          <w:p w14:paraId="3BDF81F5"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3</w:t>
            </w:r>
          </w:p>
        </w:tc>
        <w:tc>
          <w:tcPr>
            <w:tcW w:w="2126" w:type="dxa"/>
            <w:tcBorders>
              <w:top w:val="single" w:sz="18" w:space="0" w:color="auto"/>
              <w:left w:val="single" w:sz="6" w:space="0" w:color="auto"/>
              <w:bottom w:val="single" w:sz="6" w:space="0" w:color="auto"/>
              <w:right w:val="single" w:sz="6" w:space="0" w:color="auto"/>
            </w:tcBorders>
            <w:shd w:val="clear" w:color="000000" w:fill="FFFFFF"/>
            <w:hideMark/>
          </w:tcPr>
          <w:p w14:paraId="08896CF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State and Local Governments</w:t>
            </w:r>
          </w:p>
        </w:tc>
        <w:tc>
          <w:tcPr>
            <w:tcW w:w="850" w:type="dxa"/>
            <w:tcBorders>
              <w:top w:val="single" w:sz="18" w:space="0" w:color="auto"/>
              <w:left w:val="single" w:sz="6" w:space="0" w:color="auto"/>
              <w:bottom w:val="single" w:sz="6" w:space="0" w:color="auto"/>
              <w:right w:val="single" w:sz="6" w:space="0" w:color="auto"/>
            </w:tcBorders>
            <w:shd w:val="clear" w:color="000000" w:fill="FFFFFF"/>
            <w:hideMark/>
          </w:tcPr>
          <w:p w14:paraId="1B254AB2"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9</w:t>
            </w:r>
          </w:p>
        </w:tc>
        <w:tc>
          <w:tcPr>
            <w:tcW w:w="993" w:type="dxa"/>
            <w:tcBorders>
              <w:top w:val="single" w:sz="18" w:space="0" w:color="auto"/>
              <w:left w:val="single" w:sz="6" w:space="0" w:color="auto"/>
              <w:bottom w:val="single" w:sz="6" w:space="0" w:color="auto"/>
              <w:right w:val="single" w:sz="6" w:space="0" w:color="auto"/>
            </w:tcBorders>
            <w:shd w:val="clear" w:color="000000" w:fill="FFFFFF"/>
            <w:hideMark/>
          </w:tcPr>
          <w:p w14:paraId="00AF4CC9"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10285" w:type="dxa"/>
            <w:tcBorders>
              <w:top w:val="single" w:sz="18" w:space="0" w:color="auto"/>
              <w:left w:val="single" w:sz="6" w:space="0" w:color="auto"/>
              <w:bottom w:val="single" w:sz="6" w:space="0" w:color="auto"/>
              <w:right w:val="single" w:sz="18" w:space="0" w:color="auto"/>
            </w:tcBorders>
            <w:shd w:val="clear" w:color="000000" w:fill="FFFFFF"/>
            <w:hideMark/>
          </w:tcPr>
          <w:p w14:paraId="6856B751" w14:textId="4401F1C1" w:rsidR="002B7314" w:rsidRPr="00225669" w:rsidRDefault="002B7314" w:rsidP="002B7314">
            <w:pPr>
              <w:jc w:val="both"/>
              <w:rPr>
                <w:rFonts w:eastAsia="Times New Roman" w:cs="Arial"/>
                <w:color w:val="000000"/>
                <w:sz w:val="20"/>
                <w:szCs w:val="20"/>
              </w:rPr>
            </w:pPr>
            <w:r w:rsidRPr="00225669">
              <w:rPr>
                <w:rFonts w:eastAsia="Times New Roman" w:cs="Arial"/>
                <w:color w:val="000000"/>
                <w:sz w:val="20"/>
                <w:szCs w:val="20"/>
              </w:rPr>
              <w:t>The State and Local Governments represent the most powerful and critical stakeholders in the Niger Delta. They receive about 70 percent of the funds allocated to the region. Furthermore, they are the government authorities closest to the people and should have the highest level of influence on development outcomes in the region.</w:t>
            </w:r>
          </w:p>
          <w:p w14:paraId="264233D6" w14:textId="77777777" w:rsidR="002B7314" w:rsidRPr="00225669" w:rsidRDefault="002B7314" w:rsidP="002B7314">
            <w:pPr>
              <w:jc w:val="both"/>
              <w:rPr>
                <w:rFonts w:eastAsia="Times New Roman" w:cs="Arial"/>
                <w:color w:val="000000"/>
                <w:sz w:val="20"/>
                <w:szCs w:val="20"/>
              </w:rPr>
            </w:pPr>
          </w:p>
          <w:p w14:paraId="3AC8839C" w14:textId="1D699C86" w:rsidR="002B7314" w:rsidRPr="00225669" w:rsidRDefault="002B7314" w:rsidP="002B7314">
            <w:pPr>
              <w:jc w:val="both"/>
              <w:rPr>
                <w:rFonts w:eastAsia="Times New Roman" w:cs="Arial"/>
                <w:color w:val="000000"/>
                <w:sz w:val="20"/>
                <w:szCs w:val="20"/>
              </w:rPr>
            </w:pPr>
            <w:r w:rsidRPr="00225669">
              <w:rPr>
                <w:rFonts w:eastAsia="Times New Roman" w:cs="Arial"/>
                <w:color w:val="000000"/>
                <w:sz w:val="20"/>
                <w:szCs w:val="20"/>
              </w:rPr>
              <w:t xml:space="preserve">Judging by their antecedents, there is no validation that these government authorities have any real interest in </w:t>
            </w:r>
            <w:r w:rsidR="004C4A79" w:rsidRPr="00225669">
              <w:rPr>
                <w:rFonts w:eastAsia="Times New Roman" w:cs="Arial"/>
                <w:color w:val="000000"/>
                <w:sz w:val="20"/>
                <w:szCs w:val="20"/>
              </w:rPr>
              <w:t>security stabili</w:t>
            </w:r>
            <w:r w:rsidRPr="00225669">
              <w:rPr>
                <w:rFonts w:eastAsia="Times New Roman" w:cs="Arial"/>
                <w:color w:val="000000"/>
                <w:sz w:val="20"/>
                <w:szCs w:val="20"/>
              </w:rPr>
              <w:t>s</w:t>
            </w:r>
            <w:r w:rsidR="004C4A79" w:rsidRPr="00225669">
              <w:rPr>
                <w:rFonts w:eastAsia="Times New Roman" w:cs="Arial"/>
                <w:color w:val="000000"/>
                <w:sz w:val="20"/>
                <w:szCs w:val="20"/>
              </w:rPr>
              <w:t>ation and development of the Niger Delta region</w:t>
            </w:r>
            <w:r w:rsidRPr="00225669">
              <w:rPr>
                <w:rFonts w:eastAsia="Times New Roman" w:cs="Arial"/>
                <w:color w:val="000000"/>
                <w:sz w:val="20"/>
                <w:szCs w:val="20"/>
              </w:rPr>
              <w:t xml:space="preserve">. There has not been any commensurate increase in the quality of life of the people relative to the amount of resources that have been committed to the region. </w:t>
            </w:r>
          </w:p>
          <w:p w14:paraId="42763E02" w14:textId="77777777" w:rsidR="002B7314" w:rsidRPr="00225669" w:rsidRDefault="002B7314" w:rsidP="002B7314">
            <w:pPr>
              <w:jc w:val="both"/>
              <w:rPr>
                <w:rFonts w:eastAsia="Times New Roman" w:cs="Arial"/>
                <w:color w:val="000000"/>
                <w:sz w:val="20"/>
                <w:szCs w:val="20"/>
              </w:rPr>
            </w:pPr>
          </w:p>
          <w:p w14:paraId="60215E62" w14:textId="46E44381" w:rsidR="004C4A79" w:rsidRPr="00225669" w:rsidRDefault="004C4A79" w:rsidP="002B7314">
            <w:pPr>
              <w:jc w:val="both"/>
              <w:rPr>
                <w:rFonts w:eastAsia="Times New Roman" w:cs="Arial"/>
                <w:color w:val="000000"/>
                <w:sz w:val="20"/>
                <w:szCs w:val="20"/>
              </w:rPr>
            </w:pPr>
            <w:r w:rsidRPr="00225669">
              <w:rPr>
                <w:rFonts w:eastAsia="Times New Roman" w:cs="Arial"/>
                <w:color w:val="000000"/>
                <w:sz w:val="20"/>
                <w:szCs w:val="20"/>
              </w:rPr>
              <w:t>The power blocs</w:t>
            </w:r>
            <w:r w:rsidR="002B7314" w:rsidRPr="00225669">
              <w:rPr>
                <w:rFonts w:eastAsia="Times New Roman" w:cs="Arial"/>
                <w:color w:val="000000"/>
                <w:sz w:val="20"/>
                <w:szCs w:val="20"/>
              </w:rPr>
              <w:t xml:space="preserve"> in this stakeholder group include the </w:t>
            </w:r>
            <w:r w:rsidRPr="00225669">
              <w:rPr>
                <w:rFonts w:eastAsia="Times New Roman" w:cs="Arial"/>
                <w:color w:val="000000"/>
                <w:sz w:val="20"/>
                <w:szCs w:val="20"/>
              </w:rPr>
              <w:t xml:space="preserve">Governors of the </w:t>
            </w:r>
            <w:r w:rsidR="002B7314" w:rsidRPr="00225669">
              <w:rPr>
                <w:rFonts w:eastAsia="Times New Roman" w:cs="Arial"/>
                <w:color w:val="000000"/>
                <w:sz w:val="20"/>
                <w:szCs w:val="20"/>
              </w:rPr>
              <w:t xml:space="preserve">nine (9) </w:t>
            </w:r>
            <w:r w:rsidRPr="00225669">
              <w:rPr>
                <w:rFonts w:eastAsia="Times New Roman" w:cs="Arial"/>
                <w:color w:val="000000"/>
                <w:sz w:val="20"/>
                <w:szCs w:val="20"/>
              </w:rPr>
              <w:t>Niger Delta states, Federal and State Legislators in the region</w:t>
            </w:r>
            <w:r w:rsidR="002B7314" w:rsidRPr="00225669">
              <w:rPr>
                <w:rFonts w:eastAsia="Times New Roman" w:cs="Arial"/>
                <w:color w:val="000000"/>
                <w:sz w:val="20"/>
                <w:szCs w:val="20"/>
              </w:rPr>
              <w:t>,</w:t>
            </w:r>
            <w:r w:rsidRPr="00225669">
              <w:rPr>
                <w:rFonts w:eastAsia="Times New Roman" w:cs="Arial"/>
                <w:color w:val="000000"/>
                <w:sz w:val="20"/>
                <w:szCs w:val="20"/>
              </w:rPr>
              <w:t xml:space="preserve"> and the Chairmen of the various local government areas in the region. The low level of </w:t>
            </w:r>
            <w:r w:rsidR="002B7314" w:rsidRPr="00225669">
              <w:rPr>
                <w:rFonts w:eastAsia="Times New Roman" w:cs="Arial"/>
                <w:color w:val="000000"/>
                <w:sz w:val="20"/>
                <w:szCs w:val="20"/>
              </w:rPr>
              <w:t xml:space="preserve">proven </w:t>
            </w:r>
            <w:r w:rsidRPr="00225669">
              <w:rPr>
                <w:rFonts w:eastAsia="Times New Roman" w:cs="Arial"/>
                <w:color w:val="000000"/>
                <w:sz w:val="20"/>
                <w:szCs w:val="20"/>
              </w:rPr>
              <w:t xml:space="preserve">interest </w:t>
            </w:r>
            <w:r w:rsidR="002B7314" w:rsidRPr="00225669">
              <w:rPr>
                <w:rFonts w:eastAsia="Times New Roman" w:cs="Arial"/>
                <w:color w:val="000000"/>
                <w:sz w:val="20"/>
                <w:szCs w:val="20"/>
              </w:rPr>
              <w:t xml:space="preserve">in development </w:t>
            </w:r>
            <w:r w:rsidRPr="00225669">
              <w:rPr>
                <w:rFonts w:eastAsia="Times New Roman" w:cs="Arial"/>
                <w:color w:val="000000"/>
                <w:sz w:val="20"/>
                <w:szCs w:val="20"/>
              </w:rPr>
              <w:t xml:space="preserve">from the state governments may be attributed to </w:t>
            </w:r>
            <w:r w:rsidR="002B7314" w:rsidRPr="00225669">
              <w:rPr>
                <w:rFonts w:eastAsia="Times New Roman" w:cs="Arial"/>
                <w:color w:val="000000"/>
                <w:sz w:val="20"/>
                <w:szCs w:val="20"/>
              </w:rPr>
              <w:t>their</w:t>
            </w:r>
            <w:r w:rsidRPr="00225669">
              <w:rPr>
                <w:rFonts w:eastAsia="Times New Roman" w:cs="Arial"/>
                <w:color w:val="000000"/>
                <w:sz w:val="20"/>
                <w:szCs w:val="20"/>
              </w:rPr>
              <w:t xml:space="preserve"> </w:t>
            </w:r>
            <w:r w:rsidR="002B7314" w:rsidRPr="00225669">
              <w:rPr>
                <w:rFonts w:eastAsia="Times New Roman" w:cs="Arial"/>
                <w:color w:val="000000"/>
                <w:sz w:val="20"/>
                <w:szCs w:val="20"/>
              </w:rPr>
              <w:t xml:space="preserve">self-serving political interests </w:t>
            </w:r>
            <w:r w:rsidRPr="00225669">
              <w:rPr>
                <w:rFonts w:eastAsia="Times New Roman" w:cs="Arial"/>
                <w:color w:val="000000"/>
                <w:sz w:val="20"/>
                <w:szCs w:val="20"/>
              </w:rPr>
              <w:t xml:space="preserve">while that of the local governments could be attributable to low capacity </w:t>
            </w:r>
            <w:r w:rsidR="002B7314" w:rsidRPr="00225669">
              <w:rPr>
                <w:rFonts w:eastAsia="Times New Roman" w:cs="Arial"/>
                <w:color w:val="000000"/>
                <w:sz w:val="20"/>
                <w:szCs w:val="20"/>
              </w:rPr>
              <w:t xml:space="preserve">or competence in engaging </w:t>
            </w:r>
            <w:r w:rsidRPr="00225669">
              <w:rPr>
                <w:rFonts w:eastAsia="Times New Roman" w:cs="Arial"/>
                <w:color w:val="000000"/>
                <w:sz w:val="20"/>
                <w:szCs w:val="20"/>
              </w:rPr>
              <w:t>development issues.</w:t>
            </w:r>
          </w:p>
        </w:tc>
      </w:tr>
      <w:tr w:rsidR="004C4A79" w:rsidRPr="00225669" w14:paraId="65DC0869"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4D462E8F" w14:textId="5F61BEA0"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3a</w:t>
            </w:r>
          </w:p>
        </w:tc>
        <w:tc>
          <w:tcPr>
            <w:tcW w:w="2126" w:type="dxa"/>
            <w:tcBorders>
              <w:top w:val="single" w:sz="6" w:space="0" w:color="auto"/>
              <w:left w:val="single" w:sz="6" w:space="0" w:color="auto"/>
              <w:bottom w:val="single" w:sz="6" w:space="0" w:color="auto"/>
            </w:tcBorders>
            <w:shd w:val="clear" w:color="000000" w:fill="FFFFFF"/>
          </w:tcPr>
          <w:p w14:paraId="18750CC7"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Bayelsa</w:t>
            </w:r>
          </w:p>
        </w:tc>
        <w:tc>
          <w:tcPr>
            <w:tcW w:w="850" w:type="dxa"/>
            <w:tcBorders>
              <w:top w:val="single" w:sz="6" w:space="0" w:color="auto"/>
              <w:bottom w:val="single" w:sz="6" w:space="0" w:color="auto"/>
            </w:tcBorders>
            <w:shd w:val="clear" w:color="000000" w:fill="FFFFFF"/>
          </w:tcPr>
          <w:p w14:paraId="5D77E630"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5BC6AC9B"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105B7527" w14:textId="77777777" w:rsidR="001B64EE" w:rsidRPr="00225669" w:rsidRDefault="004C4A79" w:rsidP="001B64EE">
            <w:pPr>
              <w:jc w:val="both"/>
              <w:rPr>
                <w:rFonts w:eastAsia="Times New Roman" w:cs="Arial"/>
                <w:color w:val="000000"/>
                <w:sz w:val="20"/>
                <w:szCs w:val="20"/>
              </w:rPr>
            </w:pPr>
            <w:r w:rsidRPr="00225669">
              <w:rPr>
                <w:rFonts w:eastAsia="Times New Roman" w:cs="Arial"/>
                <w:color w:val="000000"/>
                <w:sz w:val="20"/>
                <w:szCs w:val="20"/>
              </w:rPr>
              <w:t xml:space="preserve">Bayelsa state is in a fragile political state with the inconclusive </w:t>
            </w:r>
            <w:r w:rsidR="001B64EE" w:rsidRPr="00225669">
              <w:rPr>
                <w:rFonts w:eastAsia="Times New Roman" w:cs="Arial"/>
                <w:color w:val="000000"/>
                <w:sz w:val="20"/>
                <w:szCs w:val="20"/>
              </w:rPr>
              <w:t xml:space="preserve">December 2015 </w:t>
            </w:r>
            <w:r w:rsidRPr="00225669">
              <w:rPr>
                <w:rFonts w:eastAsia="Times New Roman" w:cs="Arial"/>
                <w:color w:val="000000"/>
                <w:sz w:val="20"/>
                <w:szCs w:val="20"/>
              </w:rPr>
              <w:t>elections. The state represen</w:t>
            </w:r>
            <w:r w:rsidR="001B64EE" w:rsidRPr="00225669">
              <w:rPr>
                <w:rFonts w:eastAsia="Times New Roman" w:cs="Arial"/>
                <w:color w:val="000000"/>
                <w:sz w:val="20"/>
                <w:szCs w:val="20"/>
              </w:rPr>
              <w:t>ts a potent force for destabilis</w:t>
            </w:r>
            <w:r w:rsidRPr="00225669">
              <w:rPr>
                <w:rFonts w:eastAsia="Times New Roman" w:cs="Arial"/>
                <w:color w:val="000000"/>
                <w:sz w:val="20"/>
                <w:szCs w:val="20"/>
              </w:rPr>
              <w:t>ation of the region, with potential spill over ef</w:t>
            </w:r>
            <w:r w:rsidR="001B64EE" w:rsidRPr="00225669">
              <w:rPr>
                <w:rFonts w:eastAsia="Times New Roman" w:cs="Arial"/>
                <w:color w:val="000000"/>
                <w:sz w:val="20"/>
                <w:szCs w:val="20"/>
              </w:rPr>
              <w:t>fect in Rivers state.</w:t>
            </w:r>
          </w:p>
          <w:p w14:paraId="5B5794BB" w14:textId="77777777" w:rsidR="001B64EE" w:rsidRPr="00225669" w:rsidRDefault="001B64EE" w:rsidP="001B64EE">
            <w:pPr>
              <w:jc w:val="both"/>
              <w:rPr>
                <w:rFonts w:eastAsia="Times New Roman" w:cs="Arial"/>
                <w:color w:val="000000"/>
                <w:sz w:val="20"/>
                <w:szCs w:val="20"/>
              </w:rPr>
            </w:pPr>
          </w:p>
          <w:p w14:paraId="6FD8A919" w14:textId="67B7B925" w:rsidR="004C4A79" w:rsidRPr="00225669" w:rsidRDefault="001B64EE" w:rsidP="001B64EE">
            <w:pPr>
              <w:jc w:val="both"/>
              <w:rPr>
                <w:rFonts w:eastAsia="Times New Roman" w:cs="Arial"/>
                <w:color w:val="000000"/>
                <w:sz w:val="20"/>
                <w:szCs w:val="20"/>
              </w:rPr>
            </w:pPr>
            <w:r w:rsidRPr="00225669">
              <w:rPr>
                <w:rFonts w:eastAsia="Times New Roman" w:cs="Arial"/>
                <w:color w:val="000000"/>
                <w:sz w:val="20"/>
                <w:szCs w:val="20"/>
              </w:rPr>
              <w:t>Bayelsa State</w:t>
            </w:r>
            <w:r w:rsidR="004C4A79" w:rsidRPr="00225669">
              <w:rPr>
                <w:rFonts w:eastAsia="Times New Roman" w:cs="Arial"/>
                <w:color w:val="000000"/>
                <w:sz w:val="20"/>
                <w:szCs w:val="20"/>
              </w:rPr>
              <w:t xml:space="preserve"> is a fertile ground for illegal oil theft, bunkering and vandalism with a very strong frame for violence as a means of resolving political conflict.</w:t>
            </w:r>
            <w:r w:rsidRPr="00225669">
              <w:rPr>
                <w:rFonts w:eastAsia="Times New Roman" w:cs="Arial"/>
                <w:color w:val="000000"/>
                <w:sz w:val="20"/>
                <w:szCs w:val="20"/>
              </w:rPr>
              <w:t xml:space="preserve"> It was one of the states that had the highest number of militants prior to the Presidential Amnesty Programme. There are a number of potential triggers for a return to violence including the outcome of the current political process, closure of the Presidential Amnesty Programme, continued prosecution of some of the militant leaders, etc.</w:t>
            </w:r>
          </w:p>
        </w:tc>
      </w:tr>
      <w:tr w:rsidR="004C4A79" w:rsidRPr="00225669" w14:paraId="6FF9ECD2"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453B8660" w14:textId="1FAA1796"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3b</w:t>
            </w:r>
          </w:p>
        </w:tc>
        <w:tc>
          <w:tcPr>
            <w:tcW w:w="2126" w:type="dxa"/>
            <w:tcBorders>
              <w:top w:val="single" w:sz="6" w:space="0" w:color="auto"/>
              <w:left w:val="single" w:sz="6" w:space="0" w:color="auto"/>
              <w:bottom w:val="single" w:sz="6" w:space="0" w:color="auto"/>
            </w:tcBorders>
            <w:shd w:val="clear" w:color="000000" w:fill="FFFFFF"/>
          </w:tcPr>
          <w:p w14:paraId="179EEFBD"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Rivers</w:t>
            </w:r>
          </w:p>
        </w:tc>
        <w:tc>
          <w:tcPr>
            <w:tcW w:w="850" w:type="dxa"/>
            <w:tcBorders>
              <w:top w:val="single" w:sz="6" w:space="0" w:color="auto"/>
              <w:bottom w:val="single" w:sz="6" w:space="0" w:color="auto"/>
            </w:tcBorders>
            <w:shd w:val="clear" w:color="000000" w:fill="FFFFFF"/>
          </w:tcPr>
          <w:p w14:paraId="475FD77D"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42DAA83B"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5974C6C2" w14:textId="25A7A628" w:rsidR="004C4A79" w:rsidRPr="00225669" w:rsidRDefault="004C4A79" w:rsidP="001B64EE">
            <w:pPr>
              <w:jc w:val="both"/>
              <w:rPr>
                <w:rFonts w:eastAsia="Times New Roman" w:cs="Arial"/>
                <w:color w:val="000000"/>
                <w:sz w:val="20"/>
                <w:szCs w:val="20"/>
              </w:rPr>
            </w:pPr>
            <w:r w:rsidRPr="00225669">
              <w:rPr>
                <w:rFonts w:eastAsia="Times New Roman" w:cs="Arial"/>
                <w:color w:val="000000"/>
                <w:sz w:val="20"/>
                <w:szCs w:val="20"/>
              </w:rPr>
              <w:t xml:space="preserve">Rivers state is politically fragile and mimics Bayelsa’s profile of instability. The state has significant proportion of the ex-militants in the region </w:t>
            </w:r>
            <w:r w:rsidR="001B64EE" w:rsidRPr="00225669">
              <w:rPr>
                <w:rFonts w:eastAsia="Times New Roman" w:cs="Arial"/>
                <w:color w:val="000000"/>
                <w:sz w:val="20"/>
                <w:szCs w:val="20"/>
              </w:rPr>
              <w:t>that makes the prospect of remobilis</w:t>
            </w:r>
            <w:r w:rsidRPr="00225669">
              <w:rPr>
                <w:rFonts w:eastAsia="Times New Roman" w:cs="Arial"/>
                <w:color w:val="000000"/>
                <w:sz w:val="20"/>
                <w:szCs w:val="20"/>
              </w:rPr>
              <w:t>ation highly possible</w:t>
            </w:r>
            <w:r w:rsidR="001B64EE" w:rsidRPr="00225669">
              <w:rPr>
                <w:rFonts w:eastAsia="Times New Roman" w:cs="Arial"/>
                <w:color w:val="000000"/>
                <w:sz w:val="20"/>
                <w:szCs w:val="20"/>
              </w:rPr>
              <w:t>. The inconclusive elections in the state could be a trigger for violence.</w:t>
            </w:r>
          </w:p>
        </w:tc>
      </w:tr>
      <w:tr w:rsidR="004C4A79" w:rsidRPr="00225669" w14:paraId="5C5667D3"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61FF2727" w14:textId="3F83B7E9"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3c</w:t>
            </w:r>
          </w:p>
        </w:tc>
        <w:tc>
          <w:tcPr>
            <w:tcW w:w="2126" w:type="dxa"/>
            <w:tcBorders>
              <w:top w:val="single" w:sz="6" w:space="0" w:color="auto"/>
              <w:left w:val="single" w:sz="6" w:space="0" w:color="auto"/>
              <w:bottom w:val="single" w:sz="6" w:space="0" w:color="auto"/>
            </w:tcBorders>
            <w:shd w:val="clear" w:color="000000" w:fill="FFFFFF"/>
          </w:tcPr>
          <w:p w14:paraId="148DEE8B"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Akwa Ibom</w:t>
            </w:r>
          </w:p>
        </w:tc>
        <w:tc>
          <w:tcPr>
            <w:tcW w:w="850" w:type="dxa"/>
            <w:tcBorders>
              <w:top w:val="single" w:sz="6" w:space="0" w:color="auto"/>
              <w:bottom w:val="single" w:sz="6" w:space="0" w:color="auto"/>
            </w:tcBorders>
            <w:shd w:val="clear" w:color="000000" w:fill="FFFFFF"/>
          </w:tcPr>
          <w:p w14:paraId="24050923"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703C57DB"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56036C16" w14:textId="646F04B6"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Akwa Ibom is relatively stable with sustained interest in development.</w:t>
            </w:r>
            <w:r w:rsidR="001B64EE" w:rsidRPr="00225669">
              <w:rPr>
                <w:rFonts w:eastAsia="Times New Roman" w:cs="Arial"/>
                <w:color w:val="000000"/>
                <w:sz w:val="20"/>
                <w:szCs w:val="20"/>
              </w:rPr>
              <w:t xml:space="preserve"> The immediate past administration of Godswill Akpabio embarked on a number of high profile infrastructure projects. It is hoped that the new governor will continue on the same trajectory with more emphasis on social investments, and how the infrastructure investments can be used to trigger development.</w:t>
            </w:r>
          </w:p>
        </w:tc>
      </w:tr>
      <w:tr w:rsidR="004C4A79" w:rsidRPr="00225669" w14:paraId="693102AE"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79D9EFB4" w14:textId="3B33312C"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3d</w:t>
            </w:r>
          </w:p>
        </w:tc>
        <w:tc>
          <w:tcPr>
            <w:tcW w:w="2126" w:type="dxa"/>
            <w:tcBorders>
              <w:top w:val="single" w:sz="6" w:space="0" w:color="auto"/>
              <w:left w:val="single" w:sz="6" w:space="0" w:color="auto"/>
              <w:bottom w:val="single" w:sz="6" w:space="0" w:color="auto"/>
            </w:tcBorders>
            <w:shd w:val="clear" w:color="000000" w:fill="FFFFFF"/>
          </w:tcPr>
          <w:p w14:paraId="38CDB55E"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Cross River</w:t>
            </w:r>
          </w:p>
        </w:tc>
        <w:tc>
          <w:tcPr>
            <w:tcW w:w="850" w:type="dxa"/>
            <w:tcBorders>
              <w:top w:val="single" w:sz="6" w:space="0" w:color="auto"/>
              <w:bottom w:val="single" w:sz="6" w:space="0" w:color="auto"/>
            </w:tcBorders>
            <w:shd w:val="clear" w:color="000000" w:fill="FFFFFF"/>
          </w:tcPr>
          <w:p w14:paraId="46B39D0E"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739D0DFB"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6B2E459A" w14:textId="3A7A0FCE"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Although there has been increasing incidences of cultism and kidnappings, Cross River </w:t>
            </w:r>
            <w:r w:rsidR="001B64EE" w:rsidRPr="00225669">
              <w:rPr>
                <w:rFonts w:eastAsia="Times New Roman" w:cs="Arial"/>
                <w:color w:val="000000"/>
                <w:sz w:val="20"/>
                <w:szCs w:val="20"/>
              </w:rPr>
              <w:t xml:space="preserve">State </w:t>
            </w:r>
            <w:r w:rsidRPr="00225669">
              <w:rPr>
                <w:rFonts w:eastAsia="Times New Roman" w:cs="Arial"/>
                <w:color w:val="000000"/>
                <w:sz w:val="20"/>
                <w:szCs w:val="20"/>
              </w:rPr>
              <w:t>is relatively stable with sustained interest in development</w:t>
            </w:r>
            <w:r w:rsidR="001B64EE" w:rsidRPr="00225669">
              <w:rPr>
                <w:rFonts w:eastAsia="Times New Roman" w:cs="Arial"/>
                <w:color w:val="000000"/>
                <w:sz w:val="20"/>
                <w:szCs w:val="20"/>
              </w:rPr>
              <w:t>.</w:t>
            </w:r>
          </w:p>
        </w:tc>
      </w:tr>
      <w:tr w:rsidR="004C4A79" w:rsidRPr="00225669" w14:paraId="13A984D1"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1840B00B" w14:textId="35F2426C"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3e</w:t>
            </w:r>
          </w:p>
        </w:tc>
        <w:tc>
          <w:tcPr>
            <w:tcW w:w="2126" w:type="dxa"/>
            <w:tcBorders>
              <w:top w:val="single" w:sz="6" w:space="0" w:color="auto"/>
              <w:left w:val="single" w:sz="6" w:space="0" w:color="auto"/>
              <w:bottom w:val="single" w:sz="6" w:space="0" w:color="auto"/>
            </w:tcBorders>
            <w:shd w:val="clear" w:color="000000" w:fill="FFFFFF"/>
          </w:tcPr>
          <w:p w14:paraId="04AE5FE1"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Edo</w:t>
            </w:r>
          </w:p>
        </w:tc>
        <w:tc>
          <w:tcPr>
            <w:tcW w:w="850" w:type="dxa"/>
            <w:tcBorders>
              <w:top w:val="single" w:sz="6" w:space="0" w:color="auto"/>
              <w:bottom w:val="single" w:sz="6" w:space="0" w:color="auto"/>
            </w:tcBorders>
            <w:shd w:val="clear" w:color="000000" w:fill="FFFFFF"/>
          </w:tcPr>
          <w:p w14:paraId="30A0F1F6"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296F3F30"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2BD7DF98" w14:textId="358734E9"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Edo State is fairly stable with focus on development</w:t>
            </w:r>
            <w:r w:rsidR="001B64EE" w:rsidRPr="00225669">
              <w:rPr>
                <w:rFonts w:eastAsia="Times New Roman" w:cs="Arial"/>
                <w:color w:val="000000"/>
                <w:sz w:val="20"/>
                <w:szCs w:val="20"/>
              </w:rPr>
              <w:t>. The governor, Adams Oshiohmole, is seen as connected to the concerns of the common citizens. He is also building a growing national profile with All Progressives Congress.</w:t>
            </w:r>
          </w:p>
        </w:tc>
      </w:tr>
      <w:tr w:rsidR="004C4A79" w:rsidRPr="00225669" w14:paraId="1FAE3D4E"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6958FB0C" w14:textId="29EAF01E"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3f</w:t>
            </w:r>
          </w:p>
        </w:tc>
        <w:tc>
          <w:tcPr>
            <w:tcW w:w="2126" w:type="dxa"/>
            <w:tcBorders>
              <w:top w:val="single" w:sz="6" w:space="0" w:color="auto"/>
              <w:left w:val="single" w:sz="6" w:space="0" w:color="auto"/>
              <w:bottom w:val="single" w:sz="6" w:space="0" w:color="auto"/>
            </w:tcBorders>
            <w:shd w:val="clear" w:color="000000" w:fill="FFFFFF"/>
          </w:tcPr>
          <w:p w14:paraId="15A3F33F"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Delta</w:t>
            </w:r>
          </w:p>
        </w:tc>
        <w:tc>
          <w:tcPr>
            <w:tcW w:w="850" w:type="dxa"/>
            <w:tcBorders>
              <w:top w:val="single" w:sz="6" w:space="0" w:color="auto"/>
              <w:bottom w:val="single" w:sz="6" w:space="0" w:color="auto"/>
            </w:tcBorders>
            <w:shd w:val="clear" w:color="000000" w:fill="FFFFFF"/>
          </w:tcPr>
          <w:p w14:paraId="4DB78357"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14367713"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0882DEE9" w14:textId="296675C1" w:rsidR="004C4A79" w:rsidRPr="00225669" w:rsidRDefault="004C4A79" w:rsidP="00433ED5">
            <w:pPr>
              <w:jc w:val="both"/>
              <w:rPr>
                <w:rFonts w:eastAsia="Times New Roman" w:cs="Arial"/>
                <w:color w:val="000000"/>
                <w:sz w:val="20"/>
                <w:szCs w:val="20"/>
              </w:rPr>
            </w:pPr>
            <w:r w:rsidRPr="00225669">
              <w:rPr>
                <w:rFonts w:eastAsia="Times New Roman" w:cs="Arial"/>
                <w:color w:val="000000"/>
                <w:sz w:val="20"/>
                <w:szCs w:val="20"/>
              </w:rPr>
              <w:t xml:space="preserve">Delta state is moderately stable. Although having considerable </w:t>
            </w:r>
            <w:r w:rsidR="001B64EE" w:rsidRPr="00225669">
              <w:rPr>
                <w:rFonts w:eastAsia="Times New Roman" w:cs="Arial"/>
                <w:color w:val="000000"/>
                <w:sz w:val="20"/>
                <w:szCs w:val="20"/>
              </w:rPr>
              <w:t xml:space="preserve">number of </w:t>
            </w:r>
            <w:r w:rsidRPr="00225669">
              <w:rPr>
                <w:rFonts w:eastAsia="Times New Roman" w:cs="Arial"/>
                <w:color w:val="000000"/>
                <w:sz w:val="20"/>
                <w:szCs w:val="20"/>
              </w:rPr>
              <w:t xml:space="preserve">ex-militants, most of them have shown significant interest in accessing reintegration assistance. Relative stability of the </w:t>
            </w:r>
            <w:r w:rsidR="00433ED5" w:rsidRPr="00225669">
              <w:rPr>
                <w:rFonts w:eastAsia="Times New Roman" w:cs="Arial"/>
                <w:color w:val="000000"/>
                <w:sz w:val="20"/>
                <w:szCs w:val="20"/>
              </w:rPr>
              <w:t>State</w:t>
            </w:r>
            <w:r w:rsidRPr="00225669">
              <w:rPr>
                <w:rFonts w:eastAsia="Times New Roman" w:cs="Arial"/>
                <w:color w:val="000000"/>
                <w:sz w:val="20"/>
                <w:szCs w:val="20"/>
              </w:rPr>
              <w:t xml:space="preserve"> makes it a</w:t>
            </w:r>
            <w:r w:rsidR="00433ED5" w:rsidRPr="00225669">
              <w:rPr>
                <w:rFonts w:eastAsia="Times New Roman" w:cs="Arial"/>
                <w:color w:val="000000"/>
                <w:sz w:val="20"/>
                <w:szCs w:val="20"/>
              </w:rPr>
              <w:t>menable to development interest. The new governor, Senator Okowa, is said to be connected to the common citizens and has shown that he has the ability to create initiatives that can drive real growth and development in the state.</w:t>
            </w:r>
          </w:p>
        </w:tc>
      </w:tr>
      <w:tr w:rsidR="004C4A79" w:rsidRPr="00225669" w14:paraId="398431A0"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7A7296B3" w14:textId="350A824B"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3g</w:t>
            </w:r>
          </w:p>
        </w:tc>
        <w:tc>
          <w:tcPr>
            <w:tcW w:w="2126" w:type="dxa"/>
            <w:tcBorders>
              <w:top w:val="single" w:sz="6" w:space="0" w:color="auto"/>
              <w:left w:val="single" w:sz="6" w:space="0" w:color="auto"/>
              <w:bottom w:val="single" w:sz="6" w:space="0" w:color="auto"/>
            </w:tcBorders>
            <w:shd w:val="clear" w:color="000000" w:fill="FFFFFF"/>
          </w:tcPr>
          <w:p w14:paraId="190C482B"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Abia</w:t>
            </w:r>
          </w:p>
        </w:tc>
        <w:tc>
          <w:tcPr>
            <w:tcW w:w="850" w:type="dxa"/>
            <w:tcBorders>
              <w:top w:val="single" w:sz="6" w:space="0" w:color="auto"/>
              <w:bottom w:val="single" w:sz="6" w:space="0" w:color="auto"/>
            </w:tcBorders>
            <w:shd w:val="clear" w:color="000000" w:fill="FFFFFF"/>
          </w:tcPr>
          <w:p w14:paraId="073945E8"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3B3B962B"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77FCD4FF" w14:textId="4224BADA" w:rsidR="004C4A79" w:rsidRPr="00225669" w:rsidRDefault="004C4A79" w:rsidP="00433ED5">
            <w:pPr>
              <w:jc w:val="both"/>
              <w:rPr>
                <w:rFonts w:eastAsia="Times New Roman" w:cs="Arial"/>
                <w:color w:val="000000"/>
                <w:sz w:val="20"/>
                <w:szCs w:val="20"/>
              </w:rPr>
            </w:pPr>
            <w:r w:rsidRPr="00225669">
              <w:rPr>
                <w:rFonts w:eastAsia="Times New Roman" w:cs="Arial"/>
                <w:color w:val="000000"/>
                <w:sz w:val="20"/>
                <w:szCs w:val="20"/>
              </w:rPr>
              <w:t xml:space="preserve">Abia State is fragile with the nascent agitations </w:t>
            </w:r>
            <w:r w:rsidR="00433ED5" w:rsidRPr="00225669">
              <w:rPr>
                <w:rFonts w:eastAsia="Times New Roman" w:cs="Arial"/>
                <w:color w:val="000000"/>
                <w:sz w:val="20"/>
                <w:szCs w:val="20"/>
              </w:rPr>
              <w:t xml:space="preserve">for the sovereign state of Biafra, </w:t>
            </w:r>
            <w:r w:rsidRPr="00225669">
              <w:rPr>
                <w:rFonts w:eastAsia="Times New Roman" w:cs="Arial"/>
                <w:color w:val="000000"/>
                <w:sz w:val="20"/>
                <w:szCs w:val="20"/>
              </w:rPr>
              <w:t>and ingrained perception of marginali</w:t>
            </w:r>
            <w:r w:rsidR="00433ED5" w:rsidRPr="00225669">
              <w:rPr>
                <w:rFonts w:eastAsia="Times New Roman" w:cs="Arial"/>
                <w:color w:val="000000"/>
                <w:sz w:val="20"/>
                <w:szCs w:val="20"/>
              </w:rPr>
              <w:t>s</w:t>
            </w:r>
            <w:r w:rsidRPr="00225669">
              <w:rPr>
                <w:rFonts w:eastAsia="Times New Roman" w:cs="Arial"/>
                <w:color w:val="000000"/>
                <w:sz w:val="20"/>
                <w:szCs w:val="20"/>
              </w:rPr>
              <w:t>ation amongst the people</w:t>
            </w:r>
            <w:r w:rsidR="00433ED5" w:rsidRPr="00225669">
              <w:rPr>
                <w:rFonts w:eastAsia="Times New Roman" w:cs="Arial"/>
                <w:color w:val="000000"/>
                <w:sz w:val="20"/>
                <w:szCs w:val="20"/>
              </w:rPr>
              <w:t xml:space="preserve">. These agitations </w:t>
            </w:r>
            <w:r w:rsidRPr="00225669">
              <w:rPr>
                <w:rFonts w:eastAsia="Times New Roman" w:cs="Arial"/>
                <w:color w:val="000000"/>
                <w:sz w:val="20"/>
                <w:szCs w:val="20"/>
              </w:rPr>
              <w:t xml:space="preserve">can </w:t>
            </w:r>
            <w:r w:rsidR="00433ED5" w:rsidRPr="00225669">
              <w:rPr>
                <w:rFonts w:eastAsia="Times New Roman" w:cs="Arial"/>
                <w:color w:val="000000"/>
                <w:sz w:val="20"/>
                <w:szCs w:val="20"/>
              </w:rPr>
              <w:t xml:space="preserve">trigger violence and </w:t>
            </w:r>
            <w:r w:rsidRPr="00225669">
              <w:rPr>
                <w:rFonts w:eastAsia="Times New Roman" w:cs="Arial"/>
                <w:color w:val="000000"/>
                <w:sz w:val="20"/>
                <w:szCs w:val="20"/>
              </w:rPr>
              <w:t>instability across the state</w:t>
            </w:r>
            <w:r w:rsidR="00433ED5" w:rsidRPr="00225669">
              <w:rPr>
                <w:rFonts w:eastAsia="Times New Roman" w:cs="Arial"/>
                <w:color w:val="000000"/>
                <w:sz w:val="20"/>
                <w:szCs w:val="20"/>
              </w:rPr>
              <w:t>. The agitations for Biafra could easily merge with the frustrations with the state government. The immediate past administration in the state are seen to have been very ineffectual in driving development. There is, however, hope that the new administration could deliver development.</w:t>
            </w:r>
          </w:p>
        </w:tc>
      </w:tr>
      <w:tr w:rsidR="004C4A79" w:rsidRPr="00225669" w14:paraId="7C46243D" w14:textId="77777777" w:rsidTr="002B7314">
        <w:trPr>
          <w:trHeight w:val="186"/>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1F708BB0" w14:textId="6F355774"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3h</w:t>
            </w:r>
          </w:p>
        </w:tc>
        <w:tc>
          <w:tcPr>
            <w:tcW w:w="2126" w:type="dxa"/>
            <w:tcBorders>
              <w:top w:val="single" w:sz="6" w:space="0" w:color="auto"/>
              <w:left w:val="single" w:sz="6" w:space="0" w:color="auto"/>
              <w:bottom w:val="single" w:sz="6" w:space="0" w:color="auto"/>
            </w:tcBorders>
            <w:shd w:val="clear" w:color="000000" w:fill="FFFFFF"/>
          </w:tcPr>
          <w:p w14:paraId="3BAB9A22"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Imo</w:t>
            </w:r>
          </w:p>
        </w:tc>
        <w:tc>
          <w:tcPr>
            <w:tcW w:w="850" w:type="dxa"/>
            <w:tcBorders>
              <w:top w:val="single" w:sz="6" w:space="0" w:color="auto"/>
              <w:bottom w:val="single" w:sz="6" w:space="0" w:color="auto"/>
            </w:tcBorders>
            <w:shd w:val="clear" w:color="000000" w:fill="FFFFFF"/>
          </w:tcPr>
          <w:p w14:paraId="4144D0DC"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080D5ED8"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03FC2C8F" w14:textId="4B44A35A" w:rsidR="004C4A79" w:rsidRPr="00225669" w:rsidRDefault="004C4A79" w:rsidP="00BB2977">
            <w:pPr>
              <w:jc w:val="both"/>
              <w:rPr>
                <w:rFonts w:eastAsia="Times New Roman" w:cs="Arial"/>
                <w:color w:val="000000"/>
                <w:sz w:val="20"/>
                <w:szCs w:val="20"/>
              </w:rPr>
            </w:pPr>
            <w:r w:rsidRPr="00225669">
              <w:rPr>
                <w:rFonts w:eastAsia="Times New Roman" w:cs="Arial"/>
                <w:color w:val="000000"/>
                <w:sz w:val="20"/>
                <w:szCs w:val="20"/>
              </w:rPr>
              <w:t xml:space="preserve">Imo State has </w:t>
            </w:r>
            <w:r w:rsidR="00BB2977" w:rsidRPr="00225669">
              <w:rPr>
                <w:rFonts w:eastAsia="Times New Roman" w:cs="Arial"/>
                <w:color w:val="000000"/>
                <w:sz w:val="20"/>
                <w:szCs w:val="20"/>
              </w:rPr>
              <w:t xml:space="preserve">similar conditions as Abia State with the reverberations of the agitations for Biafra. The Governor of the State, Rochas Okorocha, is </w:t>
            </w:r>
            <w:r w:rsidR="005D2294" w:rsidRPr="00225669">
              <w:rPr>
                <w:rFonts w:eastAsia="Times New Roman" w:cs="Arial"/>
                <w:color w:val="000000"/>
                <w:sz w:val="20"/>
                <w:szCs w:val="20"/>
              </w:rPr>
              <w:t>seen to be more political than driving any active development agenda.</w:t>
            </w:r>
          </w:p>
        </w:tc>
      </w:tr>
      <w:tr w:rsidR="004C4A79" w:rsidRPr="00225669" w14:paraId="33369D51" w14:textId="77777777" w:rsidTr="005D2294">
        <w:trPr>
          <w:trHeight w:val="186"/>
        </w:trPr>
        <w:tc>
          <w:tcPr>
            <w:tcW w:w="568" w:type="dxa"/>
            <w:tcBorders>
              <w:top w:val="single" w:sz="6" w:space="0" w:color="auto"/>
              <w:left w:val="single" w:sz="18" w:space="0" w:color="auto"/>
              <w:bottom w:val="single" w:sz="18" w:space="0" w:color="auto"/>
              <w:right w:val="single" w:sz="6" w:space="0" w:color="auto"/>
            </w:tcBorders>
            <w:shd w:val="clear" w:color="000000" w:fill="FFFFFF"/>
          </w:tcPr>
          <w:p w14:paraId="29E94481" w14:textId="6C68DFAB"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3i</w:t>
            </w:r>
          </w:p>
        </w:tc>
        <w:tc>
          <w:tcPr>
            <w:tcW w:w="2126" w:type="dxa"/>
            <w:tcBorders>
              <w:top w:val="single" w:sz="6" w:space="0" w:color="auto"/>
              <w:left w:val="single" w:sz="6" w:space="0" w:color="auto"/>
              <w:bottom w:val="single" w:sz="18" w:space="0" w:color="auto"/>
            </w:tcBorders>
            <w:shd w:val="clear" w:color="000000" w:fill="FFFFFF"/>
          </w:tcPr>
          <w:p w14:paraId="74F5C494"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Ondo</w:t>
            </w:r>
          </w:p>
        </w:tc>
        <w:tc>
          <w:tcPr>
            <w:tcW w:w="850" w:type="dxa"/>
            <w:tcBorders>
              <w:top w:val="single" w:sz="6" w:space="0" w:color="auto"/>
              <w:bottom w:val="single" w:sz="18" w:space="0" w:color="auto"/>
            </w:tcBorders>
            <w:shd w:val="clear" w:color="000000" w:fill="FFFFFF"/>
          </w:tcPr>
          <w:p w14:paraId="1383590E"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18" w:space="0" w:color="auto"/>
              <w:right w:val="single" w:sz="6" w:space="0" w:color="auto"/>
            </w:tcBorders>
            <w:shd w:val="clear" w:color="000000" w:fill="FFFFFF"/>
          </w:tcPr>
          <w:p w14:paraId="30FC2828"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18" w:space="0" w:color="auto"/>
              <w:right w:val="single" w:sz="18" w:space="0" w:color="auto"/>
            </w:tcBorders>
            <w:shd w:val="clear" w:color="000000" w:fill="FFFFFF"/>
          </w:tcPr>
          <w:p w14:paraId="549D579A"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Ondo State is relatively stable with a strong focus on development.</w:t>
            </w:r>
          </w:p>
        </w:tc>
      </w:tr>
      <w:tr w:rsidR="004C4A79" w:rsidRPr="00225669" w14:paraId="73EC5E31" w14:textId="77777777" w:rsidTr="005D2294">
        <w:trPr>
          <w:trHeight w:val="778"/>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513DF541"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4</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50F6ADBB"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Resistance and Armed Groups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2273C716"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8</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4EA95CE6"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525DCF73" w14:textId="449D22B7" w:rsidR="004C4A79" w:rsidRPr="00225669" w:rsidRDefault="005D2294" w:rsidP="005D2294">
            <w:pPr>
              <w:jc w:val="both"/>
              <w:rPr>
                <w:rFonts w:eastAsia="Times New Roman" w:cs="Arial"/>
                <w:color w:val="000000"/>
                <w:sz w:val="20"/>
                <w:szCs w:val="20"/>
              </w:rPr>
            </w:pPr>
            <w:r w:rsidRPr="00225669">
              <w:rPr>
                <w:rFonts w:eastAsia="Times New Roman" w:cs="Arial"/>
                <w:color w:val="000000"/>
                <w:sz w:val="20"/>
                <w:szCs w:val="20"/>
              </w:rPr>
              <w:t xml:space="preserve">This category includes groups that </w:t>
            </w:r>
            <w:r w:rsidR="004C4A79" w:rsidRPr="00225669">
              <w:rPr>
                <w:rFonts w:eastAsia="Times New Roman" w:cs="Arial"/>
                <w:color w:val="000000"/>
                <w:sz w:val="20"/>
                <w:szCs w:val="20"/>
              </w:rPr>
              <w:t>have emerged overtime to pursue a dual agenda</w:t>
            </w:r>
            <w:r w:rsidRPr="00225669">
              <w:rPr>
                <w:rFonts w:eastAsia="Times New Roman" w:cs="Arial"/>
                <w:color w:val="000000"/>
                <w:sz w:val="20"/>
                <w:szCs w:val="20"/>
              </w:rPr>
              <w:t xml:space="preserve">, on the one hand, </w:t>
            </w:r>
            <w:r w:rsidR="004C4A79" w:rsidRPr="00225669">
              <w:rPr>
                <w:rFonts w:eastAsia="Times New Roman" w:cs="Arial"/>
                <w:color w:val="000000"/>
                <w:sz w:val="20"/>
                <w:szCs w:val="20"/>
              </w:rPr>
              <w:t xml:space="preserve">a political struggle against grievances of resource control and development neglect, </w:t>
            </w:r>
            <w:r w:rsidRPr="00225669">
              <w:rPr>
                <w:rFonts w:eastAsia="Times New Roman" w:cs="Arial"/>
                <w:color w:val="000000"/>
                <w:sz w:val="20"/>
                <w:szCs w:val="20"/>
              </w:rPr>
              <w:t xml:space="preserve">and on the </w:t>
            </w:r>
            <w:r w:rsidR="004C4A79" w:rsidRPr="00225669">
              <w:rPr>
                <w:rFonts w:eastAsia="Times New Roman" w:cs="Arial"/>
                <w:color w:val="000000"/>
                <w:sz w:val="20"/>
                <w:szCs w:val="20"/>
              </w:rPr>
              <w:t>other</w:t>
            </w:r>
            <w:r w:rsidRPr="00225669">
              <w:rPr>
                <w:rFonts w:eastAsia="Times New Roman" w:cs="Arial"/>
                <w:color w:val="000000"/>
                <w:sz w:val="20"/>
                <w:szCs w:val="20"/>
              </w:rPr>
              <w:t xml:space="preserve"> hand, use of</w:t>
            </w:r>
            <w:r w:rsidR="004C4A79" w:rsidRPr="00225669">
              <w:rPr>
                <w:rFonts w:eastAsia="Times New Roman" w:cs="Arial"/>
                <w:color w:val="000000"/>
                <w:sz w:val="20"/>
                <w:szCs w:val="20"/>
              </w:rPr>
              <w:t xml:space="preserve"> violen</w:t>
            </w:r>
            <w:r w:rsidRPr="00225669">
              <w:rPr>
                <w:rFonts w:eastAsia="Times New Roman" w:cs="Arial"/>
                <w:color w:val="000000"/>
                <w:sz w:val="20"/>
                <w:szCs w:val="20"/>
              </w:rPr>
              <w:t xml:space="preserve">ce </w:t>
            </w:r>
            <w:r w:rsidR="004C4A79" w:rsidRPr="00225669">
              <w:rPr>
                <w:rFonts w:eastAsia="Times New Roman" w:cs="Arial"/>
                <w:color w:val="000000"/>
                <w:sz w:val="20"/>
                <w:szCs w:val="20"/>
              </w:rPr>
              <w:t>to profit from oil theft and bunkering. Groups that fa</w:t>
            </w:r>
            <w:r w:rsidRPr="00225669">
              <w:rPr>
                <w:rFonts w:eastAsia="Times New Roman" w:cs="Arial"/>
                <w:color w:val="000000"/>
                <w:sz w:val="20"/>
                <w:szCs w:val="20"/>
              </w:rPr>
              <w:t xml:space="preserve">ll under this category include </w:t>
            </w:r>
            <w:r w:rsidR="004C4A79" w:rsidRPr="00225669">
              <w:rPr>
                <w:rFonts w:eastAsia="Times New Roman" w:cs="Arial"/>
                <w:color w:val="000000"/>
                <w:sz w:val="20"/>
                <w:szCs w:val="20"/>
              </w:rPr>
              <w:t>ex-</w:t>
            </w:r>
            <w:r w:rsidRPr="00225669">
              <w:rPr>
                <w:rFonts w:eastAsia="Times New Roman" w:cs="Arial"/>
                <w:color w:val="000000"/>
                <w:sz w:val="20"/>
                <w:szCs w:val="20"/>
              </w:rPr>
              <w:t>leaders</w:t>
            </w:r>
            <w:r w:rsidR="004C4A79" w:rsidRPr="00225669">
              <w:rPr>
                <w:rFonts w:eastAsia="Times New Roman" w:cs="Arial"/>
                <w:color w:val="000000"/>
                <w:sz w:val="20"/>
                <w:szCs w:val="20"/>
              </w:rPr>
              <w:t xml:space="preserve"> and ex-</w:t>
            </w:r>
            <w:r w:rsidRPr="00225669">
              <w:rPr>
                <w:rFonts w:eastAsia="Times New Roman" w:cs="Arial"/>
                <w:color w:val="000000"/>
                <w:sz w:val="20"/>
                <w:szCs w:val="20"/>
              </w:rPr>
              <w:t xml:space="preserve">combatants in the defunct </w:t>
            </w:r>
            <w:r w:rsidR="004C4A79" w:rsidRPr="00225669">
              <w:rPr>
                <w:rFonts w:eastAsia="Times New Roman" w:cs="Arial"/>
                <w:color w:val="000000"/>
                <w:sz w:val="20"/>
                <w:szCs w:val="20"/>
              </w:rPr>
              <w:t>militant groups. The</w:t>
            </w:r>
            <w:r w:rsidRPr="00225669">
              <w:rPr>
                <w:rFonts w:eastAsia="Times New Roman" w:cs="Arial"/>
                <w:color w:val="000000"/>
                <w:sz w:val="20"/>
                <w:szCs w:val="20"/>
              </w:rPr>
              <w:t xml:space="preserve">se groups </w:t>
            </w:r>
            <w:r w:rsidR="004C4A79" w:rsidRPr="00225669">
              <w:rPr>
                <w:rFonts w:eastAsia="Times New Roman" w:cs="Arial"/>
                <w:color w:val="000000"/>
                <w:sz w:val="20"/>
                <w:szCs w:val="20"/>
              </w:rPr>
              <w:t>posses</w:t>
            </w:r>
            <w:r w:rsidRPr="00225669">
              <w:rPr>
                <w:rFonts w:eastAsia="Times New Roman" w:cs="Arial"/>
                <w:color w:val="000000"/>
                <w:sz w:val="20"/>
                <w:szCs w:val="20"/>
              </w:rPr>
              <w:t>s</w:t>
            </w:r>
            <w:r w:rsidR="004C4A79" w:rsidRPr="00225669">
              <w:rPr>
                <w:rFonts w:eastAsia="Times New Roman" w:cs="Arial"/>
                <w:color w:val="000000"/>
                <w:sz w:val="20"/>
                <w:szCs w:val="20"/>
              </w:rPr>
              <w:t xml:space="preserve"> a high level of power and influence in the region as they have readily available resources to cause </w:t>
            </w:r>
            <w:r w:rsidRPr="00225669">
              <w:rPr>
                <w:rFonts w:eastAsia="Times New Roman" w:cs="Arial"/>
                <w:color w:val="000000"/>
                <w:sz w:val="20"/>
                <w:szCs w:val="20"/>
              </w:rPr>
              <w:t xml:space="preserve">widespread violence and </w:t>
            </w:r>
            <w:r w:rsidR="004C4A79" w:rsidRPr="00225669">
              <w:rPr>
                <w:rFonts w:eastAsia="Times New Roman" w:cs="Arial"/>
                <w:color w:val="000000"/>
                <w:sz w:val="20"/>
                <w:szCs w:val="20"/>
              </w:rPr>
              <w:t xml:space="preserve">chaos. They thrive </w:t>
            </w:r>
            <w:r w:rsidRPr="00225669">
              <w:rPr>
                <w:rFonts w:eastAsia="Times New Roman" w:cs="Arial"/>
                <w:color w:val="000000"/>
                <w:sz w:val="20"/>
                <w:szCs w:val="20"/>
              </w:rPr>
              <w:t xml:space="preserve">and profit from </w:t>
            </w:r>
            <w:r w:rsidR="004C4A79" w:rsidRPr="00225669">
              <w:rPr>
                <w:rFonts w:eastAsia="Times New Roman" w:cs="Arial"/>
                <w:color w:val="000000"/>
                <w:sz w:val="20"/>
                <w:szCs w:val="20"/>
              </w:rPr>
              <w:t xml:space="preserve">violence and chaos to perpetrate </w:t>
            </w:r>
            <w:r w:rsidRPr="00225669">
              <w:rPr>
                <w:rFonts w:eastAsia="Times New Roman" w:cs="Arial"/>
                <w:color w:val="000000"/>
                <w:sz w:val="20"/>
                <w:szCs w:val="20"/>
              </w:rPr>
              <w:t xml:space="preserve">their </w:t>
            </w:r>
            <w:r w:rsidR="004C4A79" w:rsidRPr="00225669">
              <w:rPr>
                <w:rFonts w:eastAsia="Times New Roman" w:cs="Arial"/>
                <w:color w:val="000000"/>
                <w:sz w:val="20"/>
                <w:szCs w:val="20"/>
              </w:rPr>
              <w:t>various nefarious activities for personal profit, hence, their low level of interest towards development and stability of the region.</w:t>
            </w:r>
          </w:p>
        </w:tc>
      </w:tr>
      <w:tr w:rsidR="004C4A79" w:rsidRPr="00225669" w14:paraId="1F965AE6" w14:textId="77777777" w:rsidTr="005D2294">
        <w:trPr>
          <w:trHeight w:val="28"/>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4DE681D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5</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1F0F5797"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Criminal Elements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2AA010D3"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7</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59B247BE"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0</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27771CBE" w14:textId="57CA1323" w:rsidR="004C4A79" w:rsidRPr="00225669" w:rsidRDefault="004C4A79" w:rsidP="005D2294">
            <w:pPr>
              <w:jc w:val="both"/>
              <w:rPr>
                <w:rFonts w:eastAsia="Times New Roman" w:cs="Arial"/>
                <w:color w:val="000000"/>
                <w:sz w:val="20"/>
                <w:szCs w:val="20"/>
              </w:rPr>
            </w:pPr>
            <w:r w:rsidRPr="00225669">
              <w:rPr>
                <w:rFonts w:eastAsia="Times New Roman" w:cs="Arial"/>
                <w:color w:val="000000"/>
                <w:sz w:val="20"/>
                <w:szCs w:val="20"/>
              </w:rPr>
              <w:t>These include oil bunkerers, kidnappers, pirates</w:t>
            </w:r>
            <w:r w:rsidR="005D2294" w:rsidRPr="00225669">
              <w:rPr>
                <w:rFonts w:eastAsia="Times New Roman" w:cs="Arial"/>
                <w:color w:val="000000"/>
                <w:sz w:val="20"/>
                <w:szCs w:val="20"/>
              </w:rPr>
              <w:t xml:space="preserve"> in the Gulf of Guinea,</w:t>
            </w:r>
            <w:r w:rsidRPr="00225669">
              <w:rPr>
                <w:rFonts w:eastAsia="Times New Roman" w:cs="Arial"/>
                <w:color w:val="000000"/>
                <w:sz w:val="20"/>
                <w:szCs w:val="20"/>
              </w:rPr>
              <w:t xml:space="preserve"> etc. The primary interest of this group is to perpetuate their criminal activities. Their primary interest is not in the development of the region or in a stable security situation. Rather, an unstable security situation in the region provides an effective cover for their nefarious activities. The major players in this group have relatively high power to cause instability in the region and have been acclaimed to possess some sort of support from politicians and militants operating in the region.</w:t>
            </w:r>
          </w:p>
        </w:tc>
      </w:tr>
      <w:tr w:rsidR="004C4A79" w:rsidRPr="00225669" w14:paraId="4681B1B0" w14:textId="77777777" w:rsidTr="005D2294">
        <w:trPr>
          <w:trHeight w:val="67"/>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6629F408"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6</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7283C5DF"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International Oil Companies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444AFC97"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5</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0BC8FB02"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8</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38524083" w14:textId="72B85462" w:rsidR="004C4A79" w:rsidRPr="00225669" w:rsidRDefault="005D2294" w:rsidP="002C3072">
            <w:pPr>
              <w:jc w:val="both"/>
              <w:rPr>
                <w:rFonts w:eastAsia="Times New Roman" w:cs="Arial"/>
                <w:color w:val="000000"/>
                <w:sz w:val="20"/>
                <w:szCs w:val="20"/>
              </w:rPr>
            </w:pPr>
            <w:r w:rsidRPr="00225669">
              <w:rPr>
                <w:rFonts w:eastAsia="Times New Roman" w:cs="Arial"/>
                <w:color w:val="000000"/>
                <w:sz w:val="20"/>
                <w:szCs w:val="20"/>
              </w:rPr>
              <w:t>About two-dozen international oil c</w:t>
            </w:r>
            <w:r w:rsidR="004C4A79" w:rsidRPr="00225669">
              <w:rPr>
                <w:rFonts w:eastAsia="Times New Roman" w:cs="Arial"/>
                <w:color w:val="000000"/>
                <w:sz w:val="20"/>
                <w:szCs w:val="20"/>
              </w:rPr>
              <w:t xml:space="preserve">ompanies operate in the </w:t>
            </w:r>
            <w:r w:rsidRPr="00225669">
              <w:rPr>
                <w:rFonts w:eastAsia="Times New Roman" w:cs="Arial"/>
                <w:color w:val="000000"/>
                <w:sz w:val="20"/>
                <w:szCs w:val="20"/>
              </w:rPr>
              <w:t>Niger Delta region</w:t>
            </w:r>
            <w:r w:rsidR="004C4A79" w:rsidRPr="00225669">
              <w:rPr>
                <w:rFonts w:eastAsia="Times New Roman" w:cs="Arial"/>
                <w:color w:val="000000"/>
                <w:sz w:val="20"/>
                <w:szCs w:val="20"/>
              </w:rPr>
              <w:t xml:space="preserve">. Nearly all </w:t>
            </w:r>
            <w:r w:rsidRPr="00225669">
              <w:rPr>
                <w:rFonts w:eastAsia="Times New Roman" w:cs="Arial"/>
                <w:color w:val="000000"/>
                <w:sz w:val="20"/>
                <w:szCs w:val="20"/>
              </w:rPr>
              <w:t xml:space="preserve">of these companies </w:t>
            </w:r>
            <w:r w:rsidR="004C4A79" w:rsidRPr="00225669">
              <w:rPr>
                <w:rFonts w:eastAsia="Times New Roman" w:cs="Arial"/>
                <w:color w:val="000000"/>
                <w:sz w:val="20"/>
                <w:szCs w:val="20"/>
              </w:rPr>
              <w:t xml:space="preserve">actively contribute to the Niger Delta Development Commission and directly fund development </w:t>
            </w:r>
            <w:r w:rsidR="002C3072" w:rsidRPr="00225669">
              <w:rPr>
                <w:rFonts w:eastAsia="Times New Roman" w:cs="Arial"/>
                <w:color w:val="000000"/>
                <w:sz w:val="20"/>
                <w:szCs w:val="20"/>
              </w:rPr>
              <w:t xml:space="preserve">projects </w:t>
            </w:r>
            <w:r w:rsidR="004C4A79" w:rsidRPr="00225669">
              <w:rPr>
                <w:rFonts w:eastAsia="Times New Roman" w:cs="Arial"/>
                <w:color w:val="000000"/>
                <w:sz w:val="20"/>
                <w:szCs w:val="20"/>
              </w:rPr>
              <w:t xml:space="preserve">in </w:t>
            </w:r>
            <w:r w:rsidR="002C3072" w:rsidRPr="00225669">
              <w:rPr>
                <w:rFonts w:eastAsia="Times New Roman" w:cs="Arial"/>
                <w:color w:val="000000"/>
                <w:sz w:val="20"/>
                <w:szCs w:val="20"/>
              </w:rPr>
              <w:t xml:space="preserve">their </w:t>
            </w:r>
            <w:r w:rsidR="004C4A79" w:rsidRPr="00225669">
              <w:rPr>
                <w:rFonts w:eastAsia="Times New Roman" w:cs="Arial"/>
                <w:color w:val="000000"/>
                <w:sz w:val="20"/>
                <w:szCs w:val="20"/>
              </w:rPr>
              <w:t>local communities as a way of acquiring a social license to operate within the region.</w:t>
            </w:r>
            <w:r w:rsidR="004C4A79" w:rsidRPr="00225669">
              <w:rPr>
                <w:rStyle w:val="FootnoteReference"/>
                <w:rFonts w:eastAsia="Times New Roman" w:cs="Arial"/>
                <w:color w:val="000000"/>
                <w:sz w:val="20"/>
                <w:szCs w:val="20"/>
              </w:rPr>
              <w:footnoteReference w:id="57"/>
            </w:r>
            <w:r w:rsidR="004C4A79" w:rsidRPr="00225669">
              <w:rPr>
                <w:rFonts w:eastAsia="Times New Roman" w:cs="Arial"/>
                <w:color w:val="000000"/>
                <w:sz w:val="20"/>
                <w:szCs w:val="20"/>
              </w:rPr>
              <w:t xml:space="preserve"> They possess medium power mainly because of their financial strength but have high levels of interest in development of the region, attributable to the fact that a stable region increases the ease of doing business and increases efficiency in carrying out their operations. In the past, there has been f</w:t>
            </w:r>
            <w:r w:rsidR="002C3072" w:rsidRPr="00225669">
              <w:rPr>
                <w:rFonts w:eastAsia="Times New Roman" w:cs="Arial"/>
                <w:color w:val="000000"/>
                <w:sz w:val="20"/>
                <w:szCs w:val="20"/>
              </w:rPr>
              <w:t>ailure in c</w:t>
            </w:r>
            <w:r w:rsidR="004C4A79" w:rsidRPr="00225669">
              <w:rPr>
                <w:rFonts w:eastAsia="Times New Roman" w:cs="Arial"/>
                <w:color w:val="000000"/>
                <w:sz w:val="20"/>
                <w:szCs w:val="20"/>
              </w:rPr>
              <w:t xml:space="preserve">orporate </w:t>
            </w:r>
            <w:r w:rsidR="002C3072" w:rsidRPr="00225669">
              <w:rPr>
                <w:rFonts w:eastAsia="Times New Roman" w:cs="Arial"/>
                <w:color w:val="000000"/>
                <w:sz w:val="20"/>
                <w:szCs w:val="20"/>
              </w:rPr>
              <w:t>s</w:t>
            </w:r>
            <w:r w:rsidR="004C4A79" w:rsidRPr="00225669">
              <w:rPr>
                <w:rFonts w:eastAsia="Times New Roman" w:cs="Arial"/>
                <w:color w:val="000000"/>
                <w:sz w:val="20"/>
                <w:szCs w:val="20"/>
              </w:rPr>
              <w:t xml:space="preserve">ocial </w:t>
            </w:r>
            <w:r w:rsidR="002C3072" w:rsidRPr="00225669">
              <w:rPr>
                <w:rFonts w:eastAsia="Times New Roman" w:cs="Arial"/>
                <w:color w:val="000000"/>
                <w:sz w:val="20"/>
                <w:szCs w:val="20"/>
              </w:rPr>
              <w:t>r</w:t>
            </w:r>
            <w:r w:rsidR="004C4A79" w:rsidRPr="00225669">
              <w:rPr>
                <w:rFonts w:eastAsia="Times New Roman" w:cs="Arial"/>
                <w:color w:val="000000"/>
                <w:sz w:val="20"/>
                <w:szCs w:val="20"/>
              </w:rPr>
              <w:t>esponsibility to environmental challenges</w:t>
            </w:r>
            <w:r w:rsidR="002C3072" w:rsidRPr="00225669">
              <w:rPr>
                <w:rFonts w:eastAsia="Times New Roman" w:cs="Arial"/>
                <w:color w:val="000000"/>
                <w:sz w:val="20"/>
                <w:szCs w:val="20"/>
              </w:rPr>
              <w:t xml:space="preserve"> in the region. The alleged pay</w:t>
            </w:r>
            <w:r w:rsidR="004C4A79" w:rsidRPr="00225669">
              <w:rPr>
                <w:rFonts w:eastAsia="Times New Roman" w:cs="Arial"/>
                <w:color w:val="000000"/>
                <w:sz w:val="20"/>
                <w:szCs w:val="20"/>
              </w:rPr>
              <w:t xml:space="preserve">offs </w:t>
            </w:r>
            <w:r w:rsidR="002C3072" w:rsidRPr="00225669">
              <w:rPr>
                <w:rFonts w:eastAsia="Times New Roman" w:cs="Arial"/>
                <w:color w:val="000000"/>
                <w:sz w:val="20"/>
                <w:szCs w:val="20"/>
              </w:rPr>
              <w:t>to</w:t>
            </w:r>
            <w:r w:rsidR="004C4A79" w:rsidRPr="00225669">
              <w:rPr>
                <w:rFonts w:eastAsia="Times New Roman" w:cs="Arial"/>
                <w:color w:val="000000"/>
                <w:sz w:val="20"/>
                <w:szCs w:val="20"/>
              </w:rPr>
              <w:t xml:space="preserve"> local chiefs and traditional rulers weakened their legitimacy with the community especially amongst the youths.</w:t>
            </w:r>
          </w:p>
        </w:tc>
      </w:tr>
      <w:tr w:rsidR="004C4A79" w:rsidRPr="00225669" w14:paraId="6FF6DC26" w14:textId="77777777" w:rsidTr="005D2294">
        <w:trPr>
          <w:trHeight w:val="70"/>
        </w:trPr>
        <w:tc>
          <w:tcPr>
            <w:tcW w:w="568" w:type="dxa"/>
            <w:tcBorders>
              <w:top w:val="single" w:sz="18" w:space="0" w:color="auto"/>
              <w:left w:val="single" w:sz="18" w:space="0" w:color="auto"/>
              <w:bottom w:val="single" w:sz="6" w:space="0" w:color="auto"/>
              <w:right w:val="single" w:sz="6" w:space="0" w:color="auto"/>
            </w:tcBorders>
            <w:shd w:val="clear" w:color="000000" w:fill="FFFFFF"/>
            <w:hideMark/>
          </w:tcPr>
          <w:p w14:paraId="788A8D71" w14:textId="1F0C823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7</w:t>
            </w:r>
          </w:p>
        </w:tc>
        <w:tc>
          <w:tcPr>
            <w:tcW w:w="2126" w:type="dxa"/>
            <w:tcBorders>
              <w:top w:val="single" w:sz="18" w:space="0" w:color="auto"/>
              <w:left w:val="single" w:sz="6" w:space="0" w:color="auto"/>
              <w:bottom w:val="single" w:sz="6" w:space="0" w:color="auto"/>
              <w:right w:val="single" w:sz="6" w:space="0" w:color="auto"/>
            </w:tcBorders>
            <w:shd w:val="clear" w:color="000000" w:fill="FFFFFF"/>
            <w:hideMark/>
          </w:tcPr>
          <w:p w14:paraId="76612674"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Political Elites</w:t>
            </w:r>
          </w:p>
        </w:tc>
        <w:tc>
          <w:tcPr>
            <w:tcW w:w="850" w:type="dxa"/>
            <w:tcBorders>
              <w:top w:val="single" w:sz="18" w:space="0" w:color="auto"/>
              <w:left w:val="single" w:sz="6" w:space="0" w:color="auto"/>
              <w:bottom w:val="single" w:sz="6" w:space="0" w:color="auto"/>
              <w:right w:val="single" w:sz="6" w:space="0" w:color="auto"/>
            </w:tcBorders>
            <w:shd w:val="clear" w:color="000000" w:fill="FFFFFF"/>
            <w:hideMark/>
          </w:tcPr>
          <w:p w14:paraId="080D1A78"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7</w:t>
            </w:r>
          </w:p>
        </w:tc>
        <w:tc>
          <w:tcPr>
            <w:tcW w:w="993" w:type="dxa"/>
            <w:tcBorders>
              <w:top w:val="single" w:sz="18" w:space="0" w:color="auto"/>
              <w:left w:val="single" w:sz="6" w:space="0" w:color="auto"/>
              <w:bottom w:val="single" w:sz="6" w:space="0" w:color="auto"/>
              <w:right w:val="single" w:sz="6" w:space="0" w:color="auto"/>
            </w:tcBorders>
            <w:shd w:val="clear" w:color="000000" w:fill="FFFFFF"/>
            <w:hideMark/>
          </w:tcPr>
          <w:p w14:paraId="79BD177A"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10285" w:type="dxa"/>
            <w:tcBorders>
              <w:top w:val="single" w:sz="18" w:space="0" w:color="auto"/>
              <w:left w:val="single" w:sz="6" w:space="0" w:color="auto"/>
              <w:bottom w:val="single" w:sz="6" w:space="0" w:color="auto"/>
              <w:right w:val="single" w:sz="18" w:space="0" w:color="auto"/>
            </w:tcBorders>
            <w:shd w:val="clear" w:color="000000" w:fill="FFFFFF"/>
            <w:hideMark/>
          </w:tcPr>
          <w:p w14:paraId="663A91C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There are a few people associated with the Niger Delta region that control a disproportionate amount of political power and can influence happenings in the region positively or negatively. Some of these politically influential individuals sponsor criminal activities, thuggery and fund bunkering activities for financial gains. They possess a relatively high level of power and influence and a low level of interest in development.</w:t>
            </w:r>
          </w:p>
        </w:tc>
      </w:tr>
      <w:tr w:rsidR="004C4A79" w:rsidRPr="00225669" w14:paraId="176A59E0" w14:textId="77777777" w:rsidTr="005D2294">
        <w:trPr>
          <w:trHeight w:val="54"/>
        </w:trPr>
        <w:tc>
          <w:tcPr>
            <w:tcW w:w="568" w:type="dxa"/>
            <w:tcBorders>
              <w:top w:val="single" w:sz="6" w:space="0" w:color="auto"/>
              <w:left w:val="single" w:sz="18" w:space="0" w:color="auto"/>
              <w:bottom w:val="single" w:sz="6" w:space="0" w:color="auto"/>
              <w:right w:val="single" w:sz="6" w:space="0" w:color="auto"/>
            </w:tcBorders>
            <w:shd w:val="clear" w:color="000000" w:fill="FFFFFF"/>
          </w:tcPr>
          <w:p w14:paraId="6C6896BD" w14:textId="5C028F1A" w:rsidR="004C4A79" w:rsidRPr="00225669" w:rsidDel="00C77344" w:rsidRDefault="004C4A79" w:rsidP="004C4A79">
            <w:pPr>
              <w:jc w:val="right"/>
              <w:rPr>
                <w:rFonts w:eastAsia="Times New Roman" w:cs="Arial"/>
                <w:color w:val="000000"/>
                <w:sz w:val="20"/>
                <w:szCs w:val="20"/>
              </w:rPr>
            </w:pPr>
            <w:r w:rsidRPr="00225669">
              <w:rPr>
                <w:rFonts w:eastAsia="Times New Roman" w:cs="Arial"/>
                <w:color w:val="000000"/>
                <w:sz w:val="20"/>
                <w:szCs w:val="20"/>
              </w:rPr>
              <w:t>7a</w:t>
            </w:r>
          </w:p>
        </w:tc>
        <w:tc>
          <w:tcPr>
            <w:tcW w:w="2126" w:type="dxa"/>
            <w:tcBorders>
              <w:top w:val="single" w:sz="6" w:space="0" w:color="auto"/>
              <w:left w:val="single" w:sz="6" w:space="0" w:color="auto"/>
              <w:bottom w:val="single" w:sz="6" w:space="0" w:color="auto"/>
            </w:tcBorders>
            <w:shd w:val="clear" w:color="000000" w:fill="FFFFFF"/>
          </w:tcPr>
          <w:p w14:paraId="036BB119"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Chief E. K. Clark</w:t>
            </w:r>
          </w:p>
        </w:tc>
        <w:tc>
          <w:tcPr>
            <w:tcW w:w="850" w:type="dxa"/>
            <w:tcBorders>
              <w:top w:val="single" w:sz="6" w:space="0" w:color="auto"/>
              <w:bottom w:val="single" w:sz="6" w:space="0" w:color="auto"/>
            </w:tcBorders>
            <w:shd w:val="clear" w:color="000000" w:fill="FFFFFF"/>
          </w:tcPr>
          <w:p w14:paraId="5575B6DD"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6" w:space="0" w:color="auto"/>
              <w:right w:val="single" w:sz="6" w:space="0" w:color="auto"/>
            </w:tcBorders>
            <w:shd w:val="clear" w:color="000000" w:fill="FFFFFF"/>
          </w:tcPr>
          <w:p w14:paraId="1FF531A0"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6" w:space="0" w:color="auto"/>
              <w:right w:val="single" w:sz="18" w:space="0" w:color="auto"/>
            </w:tcBorders>
            <w:shd w:val="clear" w:color="000000" w:fill="FFFFFF"/>
          </w:tcPr>
          <w:p w14:paraId="1C7D8BD6"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Chief E.K Clarke has a strong influence in the Niger Delta, as he is an indigene and also an elder statesman. He has connections with the ex-militants and can influence them either positively or negatively. Although the development of the region is of interest to him, the power to influence things in the region was lost during the last elections.</w:t>
            </w:r>
          </w:p>
        </w:tc>
      </w:tr>
      <w:tr w:rsidR="004C4A79" w:rsidRPr="00225669" w14:paraId="50261E5A" w14:textId="77777777" w:rsidTr="005D2294">
        <w:trPr>
          <w:trHeight w:val="54"/>
        </w:trPr>
        <w:tc>
          <w:tcPr>
            <w:tcW w:w="568" w:type="dxa"/>
            <w:tcBorders>
              <w:top w:val="single" w:sz="6" w:space="0" w:color="auto"/>
              <w:left w:val="single" w:sz="18" w:space="0" w:color="auto"/>
              <w:bottom w:val="single" w:sz="18" w:space="0" w:color="auto"/>
              <w:right w:val="single" w:sz="6" w:space="0" w:color="auto"/>
            </w:tcBorders>
            <w:shd w:val="clear" w:color="000000" w:fill="FFFFFF"/>
          </w:tcPr>
          <w:p w14:paraId="6606A4A3" w14:textId="6938BFC5" w:rsidR="004C4A79" w:rsidRPr="00225669" w:rsidDel="00C77344" w:rsidRDefault="004C4A79" w:rsidP="004C4A79">
            <w:pPr>
              <w:jc w:val="right"/>
              <w:rPr>
                <w:rFonts w:eastAsia="Times New Roman" w:cs="Arial"/>
                <w:color w:val="000000"/>
                <w:sz w:val="20"/>
                <w:szCs w:val="20"/>
              </w:rPr>
            </w:pPr>
            <w:r w:rsidRPr="00225669">
              <w:rPr>
                <w:rFonts w:eastAsia="Times New Roman" w:cs="Arial"/>
                <w:color w:val="000000"/>
                <w:sz w:val="20"/>
                <w:szCs w:val="20"/>
              </w:rPr>
              <w:t>7b</w:t>
            </w:r>
          </w:p>
        </w:tc>
        <w:tc>
          <w:tcPr>
            <w:tcW w:w="2126" w:type="dxa"/>
            <w:tcBorders>
              <w:top w:val="single" w:sz="6" w:space="0" w:color="auto"/>
              <w:left w:val="single" w:sz="6" w:space="0" w:color="auto"/>
              <w:bottom w:val="single" w:sz="18" w:space="0" w:color="auto"/>
            </w:tcBorders>
            <w:shd w:val="clear" w:color="000000" w:fill="FFFFFF"/>
          </w:tcPr>
          <w:p w14:paraId="27E6FF3F"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Chief A. J. Turner</w:t>
            </w:r>
          </w:p>
        </w:tc>
        <w:tc>
          <w:tcPr>
            <w:tcW w:w="850" w:type="dxa"/>
            <w:tcBorders>
              <w:top w:val="single" w:sz="6" w:space="0" w:color="auto"/>
              <w:bottom w:val="single" w:sz="18" w:space="0" w:color="auto"/>
            </w:tcBorders>
            <w:shd w:val="clear" w:color="000000" w:fill="FFFFFF"/>
          </w:tcPr>
          <w:p w14:paraId="63DADB4B" w14:textId="77777777" w:rsidR="004C4A79" w:rsidRPr="00225669" w:rsidRDefault="004C4A79" w:rsidP="004C4A79">
            <w:pPr>
              <w:jc w:val="center"/>
              <w:rPr>
                <w:rFonts w:eastAsia="Times New Roman" w:cs="Arial"/>
                <w:color w:val="000000"/>
                <w:sz w:val="20"/>
                <w:szCs w:val="20"/>
              </w:rPr>
            </w:pPr>
          </w:p>
        </w:tc>
        <w:tc>
          <w:tcPr>
            <w:tcW w:w="993" w:type="dxa"/>
            <w:tcBorders>
              <w:top w:val="single" w:sz="6" w:space="0" w:color="auto"/>
              <w:bottom w:val="single" w:sz="18" w:space="0" w:color="auto"/>
              <w:right w:val="single" w:sz="6" w:space="0" w:color="auto"/>
            </w:tcBorders>
            <w:shd w:val="clear" w:color="000000" w:fill="FFFFFF"/>
          </w:tcPr>
          <w:p w14:paraId="5E1BAA0E" w14:textId="77777777" w:rsidR="004C4A79" w:rsidRPr="00225669" w:rsidRDefault="004C4A79" w:rsidP="004C4A79">
            <w:pPr>
              <w:jc w:val="center"/>
              <w:rPr>
                <w:rFonts w:eastAsia="Times New Roman" w:cs="Arial"/>
                <w:color w:val="000000"/>
                <w:sz w:val="20"/>
                <w:szCs w:val="20"/>
              </w:rPr>
            </w:pPr>
          </w:p>
        </w:tc>
        <w:tc>
          <w:tcPr>
            <w:tcW w:w="10285" w:type="dxa"/>
            <w:tcBorders>
              <w:top w:val="single" w:sz="6" w:space="0" w:color="auto"/>
              <w:left w:val="single" w:sz="6" w:space="0" w:color="auto"/>
              <w:bottom w:val="single" w:sz="18" w:space="0" w:color="auto"/>
              <w:right w:val="single" w:sz="18" w:space="0" w:color="auto"/>
            </w:tcBorders>
            <w:shd w:val="clear" w:color="000000" w:fill="FFFFFF"/>
          </w:tcPr>
          <w:p w14:paraId="6657C4CF" w14:textId="29030F1E" w:rsidR="004C4A79" w:rsidRPr="00225669" w:rsidRDefault="00F74DFB" w:rsidP="00F74DFB">
            <w:pPr>
              <w:jc w:val="both"/>
              <w:rPr>
                <w:rFonts w:eastAsia="Times New Roman" w:cs="Arial"/>
                <w:color w:val="000000"/>
                <w:sz w:val="20"/>
                <w:szCs w:val="20"/>
              </w:rPr>
            </w:pPr>
            <w:r w:rsidRPr="00225669">
              <w:rPr>
                <w:rFonts w:eastAsia="Times New Roman" w:cs="Arial"/>
                <w:color w:val="000000"/>
                <w:sz w:val="20"/>
                <w:szCs w:val="20"/>
              </w:rPr>
              <w:t>Chief A. J. Turner had</w:t>
            </w:r>
            <w:r w:rsidR="004C4A79" w:rsidRPr="00225669">
              <w:rPr>
                <w:rFonts w:eastAsia="Times New Roman" w:cs="Arial"/>
                <w:color w:val="000000"/>
                <w:sz w:val="20"/>
                <w:szCs w:val="20"/>
              </w:rPr>
              <w:t xml:space="preserve"> a strong influence in the Niger Delta</w:t>
            </w:r>
            <w:r w:rsidR="000D199F" w:rsidRPr="00225669">
              <w:rPr>
                <w:rFonts w:eastAsia="Times New Roman" w:cs="Arial"/>
                <w:color w:val="000000"/>
                <w:sz w:val="20"/>
                <w:szCs w:val="20"/>
              </w:rPr>
              <w:t xml:space="preserve"> during the administration of President Goodluck Jonathan. Being</w:t>
            </w:r>
            <w:r w:rsidRPr="00225669">
              <w:rPr>
                <w:rFonts w:eastAsia="Times New Roman" w:cs="Arial"/>
                <w:color w:val="000000"/>
                <w:sz w:val="20"/>
                <w:szCs w:val="20"/>
              </w:rPr>
              <w:t xml:space="preserve"> the</w:t>
            </w:r>
            <w:r w:rsidR="000D199F" w:rsidRPr="00225669">
              <w:rPr>
                <w:rFonts w:eastAsia="Times New Roman" w:cs="Arial"/>
                <w:color w:val="000000"/>
                <w:sz w:val="20"/>
                <w:szCs w:val="20"/>
              </w:rPr>
              <w:t xml:space="preserve"> </w:t>
            </w:r>
            <w:r w:rsidRPr="00225669">
              <w:rPr>
                <w:rFonts w:eastAsia="Times New Roman" w:cs="Arial"/>
                <w:color w:val="000000"/>
                <w:sz w:val="20"/>
                <w:szCs w:val="20"/>
              </w:rPr>
              <w:t xml:space="preserve">traditional ruler of President Jonathan’s community and his </w:t>
            </w:r>
            <w:r w:rsidR="000D199F" w:rsidRPr="00225669">
              <w:rPr>
                <w:rFonts w:eastAsia="Times New Roman" w:cs="Arial"/>
                <w:color w:val="000000"/>
                <w:sz w:val="20"/>
                <w:szCs w:val="20"/>
              </w:rPr>
              <w:t xml:space="preserve">long time friend </w:t>
            </w:r>
            <w:r w:rsidRPr="00225669">
              <w:rPr>
                <w:rFonts w:eastAsia="Times New Roman" w:cs="Arial"/>
                <w:color w:val="000000"/>
                <w:sz w:val="20"/>
                <w:szCs w:val="20"/>
              </w:rPr>
              <w:t xml:space="preserve">and associate, </w:t>
            </w:r>
            <w:r w:rsidR="000D199F" w:rsidRPr="00225669">
              <w:rPr>
                <w:rFonts w:eastAsia="Times New Roman" w:cs="Arial"/>
                <w:color w:val="000000"/>
                <w:sz w:val="20"/>
                <w:szCs w:val="20"/>
              </w:rPr>
              <w:t xml:space="preserve">Chief Turner had a lot of influence on the decisions in the region. </w:t>
            </w:r>
            <w:r w:rsidRPr="00225669">
              <w:rPr>
                <w:rFonts w:eastAsia="Times New Roman" w:cs="Arial"/>
                <w:color w:val="000000"/>
                <w:sz w:val="20"/>
                <w:szCs w:val="20"/>
              </w:rPr>
              <w:t>Chief Turner may not have much influence in the region following the defeat of President Jonathan at the 2015 general elections.</w:t>
            </w:r>
          </w:p>
        </w:tc>
      </w:tr>
      <w:tr w:rsidR="004C4A79" w:rsidRPr="00225669" w14:paraId="64725B8B" w14:textId="77777777" w:rsidTr="005D2294">
        <w:trPr>
          <w:trHeight w:val="74"/>
        </w:trPr>
        <w:tc>
          <w:tcPr>
            <w:tcW w:w="568" w:type="dxa"/>
            <w:tcBorders>
              <w:top w:val="single" w:sz="18" w:space="0" w:color="auto"/>
              <w:left w:val="single" w:sz="18" w:space="0" w:color="auto"/>
              <w:bottom w:val="single" w:sz="6" w:space="0" w:color="auto"/>
              <w:right w:val="single" w:sz="6" w:space="0" w:color="auto"/>
            </w:tcBorders>
            <w:shd w:val="clear" w:color="000000" w:fill="FFFFFF"/>
            <w:hideMark/>
          </w:tcPr>
          <w:p w14:paraId="616744C6" w14:textId="0D5C4B00"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8</w:t>
            </w:r>
          </w:p>
        </w:tc>
        <w:tc>
          <w:tcPr>
            <w:tcW w:w="2126" w:type="dxa"/>
            <w:tcBorders>
              <w:top w:val="single" w:sz="18" w:space="0" w:color="auto"/>
              <w:left w:val="single" w:sz="6" w:space="0" w:color="auto"/>
              <w:bottom w:val="single" w:sz="6" w:space="0" w:color="auto"/>
              <w:right w:val="single" w:sz="6" w:space="0" w:color="auto"/>
            </w:tcBorders>
            <w:shd w:val="clear" w:color="000000" w:fill="FFFFFF"/>
            <w:hideMark/>
          </w:tcPr>
          <w:p w14:paraId="51C65737"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Traditional rulers &amp; Community leaders</w:t>
            </w:r>
          </w:p>
        </w:tc>
        <w:tc>
          <w:tcPr>
            <w:tcW w:w="850" w:type="dxa"/>
            <w:tcBorders>
              <w:top w:val="single" w:sz="18" w:space="0" w:color="auto"/>
              <w:left w:val="single" w:sz="6" w:space="0" w:color="auto"/>
              <w:bottom w:val="single" w:sz="6" w:space="0" w:color="auto"/>
              <w:right w:val="single" w:sz="6" w:space="0" w:color="auto"/>
            </w:tcBorders>
            <w:shd w:val="clear" w:color="000000" w:fill="FFFFFF"/>
            <w:hideMark/>
          </w:tcPr>
          <w:p w14:paraId="410CB96A"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6</w:t>
            </w:r>
          </w:p>
        </w:tc>
        <w:tc>
          <w:tcPr>
            <w:tcW w:w="993" w:type="dxa"/>
            <w:tcBorders>
              <w:top w:val="single" w:sz="18" w:space="0" w:color="auto"/>
              <w:left w:val="single" w:sz="6" w:space="0" w:color="auto"/>
              <w:bottom w:val="single" w:sz="6" w:space="0" w:color="auto"/>
              <w:right w:val="single" w:sz="6" w:space="0" w:color="auto"/>
            </w:tcBorders>
            <w:shd w:val="clear" w:color="000000" w:fill="FFFFFF"/>
            <w:hideMark/>
          </w:tcPr>
          <w:p w14:paraId="2031E895"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8</w:t>
            </w:r>
          </w:p>
        </w:tc>
        <w:tc>
          <w:tcPr>
            <w:tcW w:w="10285" w:type="dxa"/>
            <w:tcBorders>
              <w:top w:val="single" w:sz="18" w:space="0" w:color="auto"/>
              <w:left w:val="single" w:sz="6" w:space="0" w:color="auto"/>
              <w:bottom w:val="single" w:sz="6" w:space="0" w:color="auto"/>
              <w:right w:val="single" w:sz="18" w:space="0" w:color="auto"/>
            </w:tcBorders>
            <w:shd w:val="clear" w:color="000000" w:fill="FFFFFF"/>
            <w:hideMark/>
          </w:tcPr>
          <w:p w14:paraId="35B46423" w14:textId="01A9EDDE"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This group consists of various individuals with different levels of power and interest. They include traditional rulers, community leaders, ordinary citizens and other high-risk population. The traditional rulers and community leaders possess medium level of power and influence with a high interest in development of the region.  </w:t>
            </w:r>
            <w:r w:rsidR="00BD6D8D" w:rsidRPr="00225669">
              <w:rPr>
                <w:rFonts w:eastAsia="Times New Roman" w:cs="Arial"/>
                <w:color w:val="000000"/>
                <w:sz w:val="20"/>
                <w:szCs w:val="20"/>
              </w:rPr>
              <w:t>They are closest to the people and feel the impact of the development challenges in their community. However, some of these traditional rulers and community leaders have not always placed the interest of the community over their own pecuniary interests.</w:t>
            </w:r>
          </w:p>
        </w:tc>
      </w:tr>
      <w:tr w:rsidR="004C4A79" w:rsidRPr="00225669" w14:paraId="5D929F20" w14:textId="77777777" w:rsidTr="005D2294">
        <w:trPr>
          <w:trHeight w:val="569"/>
        </w:trPr>
        <w:tc>
          <w:tcPr>
            <w:tcW w:w="568" w:type="dxa"/>
            <w:tcBorders>
              <w:top w:val="single" w:sz="6" w:space="0" w:color="auto"/>
              <w:left w:val="single" w:sz="18" w:space="0" w:color="auto"/>
              <w:bottom w:val="single" w:sz="6" w:space="0" w:color="auto"/>
              <w:right w:val="single" w:sz="6" w:space="0" w:color="auto"/>
            </w:tcBorders>
            <w:shd w:val="clear" w:color="000000" w:fill="FFFFFF"/>
            <w:hideMark/>
          </w:tcPr>
          <w:p w14:paraId="122ED29E" w14:textId="77777777"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8a</w:t>
            </w:r>
          </w:p>
        </w:tc>
        <w:tc>
          <w:tcPr>
            <w:tcW w:w="2126" w:type="dxa"/>
            <w:tcBorders>
              <w:top w:val="single" w:sz="6" w:space="0" w:color="auto"/>
              <w:left w:val="single" w:sz="6" w:space="0" w:color="auto"/>
              <w:bottom w:val="single" w:sz="6" w:space="0" w:color="auto"/>
            </w:tcBorders>
            <w:shd w:val="clear" w:color="000000" w:fill="FFFFFF"/>
            <w:hideMark/>
          </w:tcPr>
          <w:p w14:paraId="2952B930"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Ordinary citizens</w:t>
            </w:r>
          </w:p>
        </w:tc>
        <w:tc>
          <w:tcPr>
            <w:tcW w:w="850" w:type="dxa"/>
            <w:tcBorders>
              <w:top w:val="single" w:sz="6" w:space="0" w:color="auto"/>
              <w:bottom w:val="single" w:sz="6" w:space="0" w:color="auto"/>
            </w:tcBorders>
            <w:shd w:val="clear" w:color="000000" w:fill="FFFFFF"/>
            <w:hideMark/>
          </w:tcPr>
          <w:p w14:paraId="65972C58"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993" w:type="dxa"/>
            <w:tcBorders>
              <w:top w:val="single" w:sz="6" w:space="0" w:color="auto"/>
              <w:bottom w:val="single" w:sz="6" w:space="0" w:color="auto"/>
              <w:right w:val="single" w:sz="6" w:space="0" w:color="auto"/>
            </w:tcBorders>
            <w:shd w:val="clear" w:color="000000" w:fill="FFFFFF"/>
            <w:hideMark/>
          </w:tcPr>
          <w:p w14:paraId="738D17DD"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10</w:t>
            </w:r>
          </w:p>
        </w:tc>
        <w:tc>
          <w:tcPr>
            <w:tcW w:w="10285" w:type="dxa"/>
            <w:tcBorders>
              <w:top w:val="single" w:sz="6" w:space="0" w:color="auto"/>
              <w:left w:val="single" w:sz="6" w:space="0" w:color="auto"/>
              <w:bottom w:val="single" w:sz="6" w:space="0" w:color="auto"/>
              <w:right w:val="single" w:sz="18" w:space="0" w:color="auto"/>
            </w:tcBorders>
            <w:shd w:val="clear" w:color="000000" w:fill="FFFFFF"/>
            <w:hideMark/>
          </w:tcPr>
          <w:p w14:paraId="06D968B5" w14:textId="65F84E98" w:rsidR="004C4A79" w:rsidRPr="00225669" w:rsidRDefault="004C4A79" w:rsidP="001B2A40">
            <w:pPr>
              <w:rPr>
                <w:rFonts w:cs="Arial"/>
                <w:sz w:val="20"/>
                <w:szCs w:val="20"/>
                <w:highlight w:val="yellow"/>
              </w:rPr>
            </w:pPr>
            <w:r w:rsidRPr="00225669">
              <w:rPr>
                <w:rFonts w:cs="Arial"/>
                <w:sz w:val="20"/>
                <w:szCs w:val="20"/>
              </w:rPr>
              <w:t>The ordinary citizens of the region have considerable interest in the development of the region and seek active involvement in citizenship participation for development. However</w:t>
            </w:r>
            <w:r w:rsidR="0074261B" w:rsidRPr="00225669">
              <w:rPr>
                <w:rFonts w:cs="Arial"/>
                <w:sz w:val="20"/>
                <w:szCs w:val="20"/>
              </w:rPr>
              <w:t>,</w:t>
            </w:r>
            <w:r w:rsidRPr="00225669">
              <w:rPr>
                <w:rFonts w:cs="Arial"/>
                <w:sz w:val="20"/>
                <w:szCs w:val="20"/>
              </w:rPr>
              <w:t xml:space="preserve"> fragment</w:t>
            </w:r>
            <w:r w:rsidR="0074261B" w:rsidRPr="00225669">
              <w:rPr>
                <w:rFonts w:cs="Arial"/>
                <w:sz w:val="20"/>
                <w:szCs w:val="20"/>
              </w:rPr>
              <w:t>ed</w:t>
            </w:r>
            <w:r w:rsidRPr="00225669">
              <w:rPr>
                <w:rFonts w:cs="Arial"/>
                <w:sz w:val="20"/>
                <w:szCs w:val="20"/>
              </w:rPr>
              <w:t xml:space="preserve"> along ethnic lines and manipulated by local politicians, the citizens have developed ingrained frame of reference for violence in resolving conflict.</w:t>
            </w:r>
          </w:p>
        </w:tc>
      </w:tr>
      <w:tr w:rsidR="004C4A79" w:rsidRPr="00225669" w14:paraId="148D3E40" w14:textId="77777777" w:rsidTr="005D2294">
        <w:trPr>
          <w:trHeight w:val="131"/>
        </w:trPr>
        <w:tc>
          <w:tcPr>
            <w:tcW w:w="568" w:type="dxa"/>
            <w:tcBorders>
              <w:top w:val="single" w:sz="6" w:space="0" w:color="auto"/>
              <w:left w:val="single" w:sz="18" w:space="0" w:color="auto"/>
              <w:bottom w:val="single" w:sz="18" w:space="0" w:color="auto"/>
              <w:right w:val="single" w:sz="6" w:space="0" w:color="auto"/>
            </w:tcBorders>
            <w:shd w:val="clear" w:color="000000" w:fill="FFFFFF"/>
            <w:hideMark/>
          </w:tcPr>
          <w:p w14:paraId="5CEF7161" w14:textId="77777777" w:rsidR="004C4A79" w:rsidRPr="00225669" w:rsidRDefault="004C4A79" w:rsidP="004C4A79">
            <w:pPr>
              <w:jc w:val="right"/>
              <w:rPr>
                <w:rFonts w:eastAsia="Times New Roman" w:cs="Arial"/>
                <w:color w:val="000000"/>
                <w:sz w:val="20"/>
                <w:szCs w:val="20"/>
              </w:rPr>
            </w:pPr>
            <w:r w:rsidRPr="00225669">
              <w:rPr>
                <w:rFonts w:eastAsia="Times New Roman" w:cs="Arial"/>
                <w:color w:val="000000"/>
                <w:sz w:val="20"/>
                <w:szCs w:val="20"/>
              </w:rPr>
              <w:t>8b</w:t>
            </w:r>
          </w:p>
        </w:tc>
        <w:tc>
          <w:tcPr>
            <w:tcW w:w="2126" w:type="dxa"/>
            <w:tcBorders>
              <w:top w:val="single" w:sz="6" w:space="0" w:color="auto"/>
              <w:left w:val="single" w:sz="6" w:space="0" w:color="auto"/>
              <w:bottom w:val="single" w:sz="18" w:space="0" w:color="auto"/>
            </w:tcBorders>
            <w:shd w:val="clear" w:color="000000" w:fill="FFFFFF"/>
            <w:hideMark/>
          </w:tcPr>
          <w:p w14:paraId="68DD7F8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High risk population</w:t>
            </w:r>
          </w:p>
        </w:tc>
        <w:tc>
          <w:tcPr>
            <w:tcW w:w="850" w:type="dxa"/>
            <w:tcBorders>
              <w:top w:val="single" w:sz="6" w:space="0" w:color="auto"/>
              <w:bottom w:val="single" w:sz="18" w:space="0" w:color="auto"/>
            </w:tcBorders>
            <w:shd w:val="clear" w:color="000000" w:fill="FFFFFF"/>
            <w:hideMark/>
          </w:tcPr>
          <w:p w14:paraId="1471A64D"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5</w:t>
            </w:r>
          </w:p>
        </w:tc>
        <w:tc>
          <w:tcPr>
            <w:tcW w:w="993" w:type="dxa"/>
            <w:tcBorders>
              <w:top w:val="single" w:sz="6" w:space="0" w:color="auto"/>
              <w:bottom w:val="single" w:sz="18" w:space="0" w:color="auto"/>
              <w:right w:val="single" w:sz="6" w:space="0" w:color="auto"/>
            </w:tcBorders>
            <w:shd w:val="clear" w:color="000000" w:fill="FFFFFF"/>
            <w:hideMark/>
          </w:tcPr>
          <w:p w14:paraId="6705860D"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4</w:t>
            </w:r>
          </w:p>
        </w:tc>
        <w:tc>
          <w:tcPr>
            <w:tcW w:w="10285" w:type="dxa"/>
            <w:tcBorders>
              <w:top w:val="single" w:sz="6" w:space="0" w:color="auto"/>
              <w:left w:val="single" w:sz="6" w:space="0" w:color="auto"/>
              <w:bottom w:val="single" w:sz="18" w:space="0" w:color="auto"/>
              <w:right w:val="single" w:sz="18" w:space="0" w:color="auto"/>
            </w:tcBorders>
            <w:shd w:val="clear" w:color="000000" w:fill="FFFFFF"/>
            <w:hideMark/>
          </w:tcPr>
          <w:p w14:paraId="59F495C2" w14:textId="17BCA496"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 xml:space="preserve">Most youths in the Niger Delta region feel politically disenfranchised and disadvantaged in comparison to the rest of Nigeria. </w:t>
            </w:r>
            <w:r w:rsidR="00A71550" w:rsidRPr="00225669">
              <w:rPr>
                <w:rFonts w:eastAsia="Times New Roman" w:cs="Arial"/>
                <w:color w:val="000000"/>
                <w:sz w:val="20"/>
                <w:szCs w:val="20"/>
              </w:rPr>
              <w:t>The</w:t>
            </w:r>
            <w:r w:rsidR="00A71550">
              <w:rPr>
                <w:rFonts w:eastAsia="Times New Roman" w:cs="Arial"/>
                <w:color w:val="000000"/>
                <w:sz w:val="20"/>
                <w:szCs w:val="20"/>
              </w:rPr>
              <w:t>y</w:t>
            </w:r>
            <w:r w:rsidR="00A71550" w:rsidRPr="00225669">
              <w:rPr>
                <w:rFonts w:eastAsia="Times New Roman" w:cs="Arial"/>
                <w:color w:val="000000"/>
                <w:sz w:val="20"/>
                <w:szCs w:val="20"/>
              </w:rPr>
              <w:t xml:space="preserve"> are surrounded by the activities that create wealth for Nigeria, yet, they are young, unemployed, and with no hope for a brighter future. </w:t>
            </w:r>
            <w:r w:rsidR="00277ED7" w:rsidRPr="00225669">
              <w:rPr>
                <w:rFonts w:eastAsia="Times New Roman" w:cs="Arial"/>
                <w:color w:val="000000"/>
                <w:sz w:val="20"/>
                <w:szCs w:val="20"/>
              </w:rPr>
              <w:t>F</w:t>
            </w:r>
            <w:r w:rsidRPr="00225669">
              <w:rPr>
                <w:rFonts w:eastAsia="Times New Roman" w:cs="Arial"/>
                <w:color w:val="000000"/>
                <w:sz w:val="20"/>
                <w:szCs w:val="20"/>
              </w:rPr>
              <w:t xml:space="preserve">rustrated and </w:t>
            </w:r>
            <w:r w:rsidR="00277ED7" w:rsidRPr="00225669">
              <w:rPr>
                <w:rFonts w:eastAsia="Times New Roman" w:cs="Arial"/>
                <w:color w:val="000000"/>
                <w:sz w:val="20"/>
                <w:szCs w:val="20"/>
              </w:rPr>
              <w:t>excluded from the</w:t>
            </w:r>
            <w:r w:rsidRPr="00225669">
              <w:rPr>
                <w:rFonts w:eastAsia="Times New Roman" w:cs="Arial"/>
                <w:color w:val="000000"/>
                <w:sz w:val="20"/>
                <w:szCs w:val="20"/>
              </w:rPr>
              <w:t xml:space="preserve"> benefits </w:t>
            </w:r>
            <w:r w:rsidR="00277ED7" w:rsidRPr="00225669">
              <w:rPr>
                <w:rFonts w:eastAsia="Times New Roman" w:cs="Arial"/>
                <w:color w:val="000000"/>
                <w:sz w:val="20"/>
                <w:szCs w:val="20"/>
              </w:rPr>
              <w:t>derived fro</w:t>
            </w:r>
            <w:r w:rsidRPr="00225669">
              <w:rPr>
                <w:rFonts w:eastAsia="Times New Roman" w:cs="Arial"/>
                <w:color w:val="000000"/>
                <w:sz w:val="20"/>
                <w:szCs w:val="20"/>
              </w:rPr>
              <w:t>m the oil resources</w:t>
            </w:r>
            <w:r w:rsidR="00277ED7" w:rsidRPr="00225669">
              <w:rPr>
                <w:rFonts w:eastAsia="Times New Roman" w:cs="Arial"/>
                <w:color w:val="000000"/>
                <w:sz w:val="20"/>
                <w:szCs w:val="20"/>
              </w:rPr>
              <w:t>, they could be drawn to the path of violence.</w:t>
            </w:r>
          </w:p>
          <w:p w14:paraId="01EC16FB" w14:textId="77777777" w:rsidR="0074261B" w:rsidRPr="00225669" w:rsidRDefault="0074261B" w:rsidP="001B2A40">
            <w:pPr>
              <w:jc w:val="both"/>
              <w:rPr>
                <w:rFonts w:eastAsia="Times New Roman" w:cs="Arial"/>
                <w:color w:val="000000"/>
                <w:sz w:val="20"/>
                <w:szCs w:val="20"/>
              </w:rPr>
            </w:pPr>
          </w:p>
          <w:p w14:paraId="1722290B" w14:textId="3FABA6AC" w:rsidR="004C4A79" w:rsidRPr="00225669" w:rsidRDefault="00277ED7" w:rsidP="00F17B9D">
            <w:pPr>
              <w:jc w:val="both"/>
              <w:rPr>
                <w:rFonts w:eastAsia="Times New Roman" w:cs="Arial"/>
                <w:color w:val="000000"/>
                <w:sz w:val="20"/>
                <w:szCs w:val="20"/>
              </w:rPr>
            </w:pPr>
            <w:r w:rsidRPr="00225669">
              <w:rPr>
                <w:rFonts w:eastAsia="Times New Roman" w:cs="Arial"/>
                <w:color w:val="000000"/>
                <w:sz w:val="20"/>
                <w:szCs w:val="20"/>
              </w:rPr>
              <w:t>A</w:t>
            </w:r>
            <w:r w:rsidR="004C4A79" w:rsidRPr="00225669">
              <w:rPr>
                <w:rFonts w:eastAsia="Times New Roman" w:cs="Arial"/>
                <w:color w:val="000000"/>
                <w:sz w:val="20"/>
                <w:szCs w:val="20"/>
              </w:rPr>
              <w:t xml:space="preserve"> high-risk population is evolving from agitat</w:t>
            </w:r>
            <w:r w:rsidRPr="00225669">
              <w:rPr>
                <w:rFonts w:eastAsia="Times New Roman" w:cs="Arial"/>
                <w:color w:val="000000"/>
                <w:sz w:val="20"/>
                <w:szCs w:val="20"/>
              </w:rPr>
              <w:t xml:space="preserve">ions for the sovereign state of </w:t>
            </w:r>
            <w:r w:rsidR="004C4A79" w:rsidRPr="00225669">
              <w:rPr>
                <w:rFonts w:eastAsia="Times New Roman" w:cs="Arial"/>
                <w:color w:val="000000"/>
                <w:sz w:val="20"/>
                <w:szCs w:val="20"/>
              </w:rPr>
              <w:t>Biafra. Although the level of power is average for the high-risk population,</w:t>
            </w:r>
            <w:r w:rsidRPr="00225669">
              <w:rPr>
                <w:rFonts w:eastAsia="Times New Roman" w:cs="Arial"/>
                <w:color w:val="000000"/>
                <w:sz w:val="20"/>
                <w:szCs w:val="20"/>
              </w:rPr>
              <w:t xml:space="preserve"> </w:t>
            </w:r>
            <w:r w:rsidR="004C4A79" w:rsidRPr="00225669">
              <w:rPr>
                <w:rFonts w:eastAsia="Times New Roman" w:cs="Arial"/>
                <w:color w:val="000000"/>
                <w:sz w:val="20"/>
                <w:szCs w:val="20"/>
              </w:rPr>
              <w:t>special attention needs to be paid to this group of people</w:t>
            </w:r>
            <w:r w:rsidR="00F17B9D" w:rsidRPr="00225669">
              <w:rPr>
                <w:rFonts w:eastAsia="Times New Roman" w:cs="Arial"/>
                <w:color w:val="000000"/>
                <w:sz w:val="20"/>
                <w:szCs w:val="20"/>
              </w:rPr>
              <w:t xml:space="preserve">. There is a possibility that </w:t>
            </w:r>
            <w:r w:rsidR="004C4A79" w:rsidRPr="00225669">
              <w:rPr>
                <w:rFonts w:eastAsia="Times New Roman" w:cs="Arial"/>
                <w:color w:val="000000"/>
                <w:sz w:val="20"/>
                <w:szCs w:val="20"/>
              </w:rPr>
              <w:t>other violent groups or sponsors could elevate the power level of this group to cause chaos.</w:t>
            </w:r>
          </w:p>
        </w:tc>
      </w:tr>
      <w:tr w:rsidR="004C4A79" w:rsidRPr="00225669" w14:paraId="4E459B7D" w14:textId="77777777" w:rsidTr="005D2294">
        <w:trPr>
          <w:trHeight w:val="420"/>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0999DA05"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9</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6E4DB134"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Regional Development Institutions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35940B5B"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6</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0B847874"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4D8DD958" w14:textId="77777777" w:rsidR="00C25DE3" w:rsidRPr="00225669" w:rsidRDefault="004C4A79" w:rsidP="00C25DE3">
            <w:pPr>
              <w:jc w:val="both"/>
              <w:rPr>
                <w:rFonts w:eastAsia="Times New Roman" w:cs="Arial"/>
                <w:color w:val="000000"/>
                <w:sz w:val="20"/>
                <w:szCs w:val="20"/>
              </w:rPr>
            </w:pPr>
            <w:r w:rsidRPr="00225669">
              <w:rPr>
                <w:rFonts w:eastAsia="Times New Roman" w:cs="Arial"/>
                <w:color w:val="000000"/>
                <w:sz w:val="20"/>
                <w:szCs w:val="20"/>
              </w:rPr>
              <w:t>This group consists of institutions mandated to implement socio economic development projects and program</w:t>
            </w:r>
            <w:r w:rsidR="00C25DE3" w:rsidRPr="00225669">
              <w:rPr>
                <w:rFonts w:eastAsia="Times New Roman" w:cs="Arial"/>
                <w:color w:val="000000"/>
                <w:sz w:val="20"/>
                <w:szCs w:val="20"/>
              </w:rPr>
              <w:t>me</w:t>
            </w:r>
            <w:r w:rsidRPr="00225669">
              <w:rPr>
                <w:rFonts w:eastAsia="Times New Roman" w:cs="Arial"/>
                <w:color w:val="000000"/>
                <w:sz w:val="20"/>
                <w:szCs w:val="20"/>
              </w:rPr>
              <w:t xml:space="preserve">s in the Niger Delta region. They include the Niger Delta Development Commission, </w:t>
            </w:r>
            <w:r w:rsidR="00C25DE3" w:rsidRPr="00225669">
              <w:rPr>
                <w:rFonts w:eastAsia="Times New Roman" w:cs="Arial"/>
                <w:color w:val="000000"/>
                <w:sz w:val="20"/>
                <w:szCs w:val="20"/>
              </w:rPr>
              <w:t xml:space="preserve">Federal </w:t>
            </w:r>
            <w:r w:rsidRPr="00225669">
              <w:rPr>
                <w:rFonts w:eastAsia="Times New Roman" w:cs="Arial"/>
                <w:color w:val="000000"/>
                <w:sz w:val="20"/>
                <w:szCs w:val="20"/>
              </w:rPr>
              <w:t>M</w:t>
            </w:r>
            <w:r w:rsidR="00C25DE3" w:rsidRPr="00225669">
              <w:rPr>
                <w:rFonts w:eastAsia="Times New Roman" w:cs="Arial"/>
                <w:color w:val="000000"/>
                <w:sz w:val="20"/>
                <w:szCs w:val="20"/>
              </w:rPr>
              <w:t>inistry of Niger Delta Affairs</w:t>
            </w:r>
            <w:r w:rsidRPr="00225669">
              <w:rPr>
                <w:rFonts w:eastAsia="Times New Roman" w:cs="Arial"/>
                <w:color w:val="000000"/>
                <w:sz w:val="20"/>
                <w:szCs w:val="20"/>
              </w:rPr>
              <w:t xml:space="preserve">, </w:t>
            </w:r>
            <w:r w:rsidR="00C25DE3" w:rsidRPr="00225669">
              <w:rPr>
                <w:rFonts w:eastAsia="Times New Roman" w:cs="Arial"/>
                <w:color w:val="000000"/>
                <w:sz w:val="20"/>
                <w:szCs w:val="20"/>
              </w:rPr>
              <w:t>various development commissions in the o</w:t>
            </w:r>
            <w:r w:rsidRPr="00225669">
              <w:rPr>
                <w:rFonts w:eastAsia="Times New Roman" w:cs="Arial"/>
                <w:color w:val="000000"/>
                <w:sz w:val="20"/>
                <w:szCs w:val="20"/>
              </w:rPr>
              <w:t xml:space="preserve">il </w:t>
            </w:r>
            <w:r w:rsidR="00C25DE3" w:rsidRPr="00225669">
              <w:rPr>
                <w:rFonts w:eastAsia="Times New Roman" w:cs="Arial"/>
                <w:color w:val="000000"/>
                <w:sz w:val="20"/>
                <w:szCs w:val="20"/>
              </w:rPr>
              <w:t>p</w:t>
            </w:r>
            <w:r w:rsidRPr="00225669">
              <w:rPr>
                <w:rFonts w:eastAsia="Times New Roman" w:cs="Arial"/>
                <w:color w:val="000000"/>
                <w:sz w:val="20"/>
                <w:szCs w:val="20"/>
              </w:rPr>
              <w:t xml:space="preserve">roducing </w:t>
            </w:r>
            <w:r w:rsidR="00C25DE3" w:rsidRPr="00225669">
              <w:rPr>
                <w:rFonts w:eastAsia="Times New Roman" w:cs="Arial"/>
                <w:color w:val="000000"/>
                <w:sz w:val="20"/>
                <w:szCs w:val="20"/>
              </w:rPr>
              <w:t>a</w:t>
            </w:r>
            <w:r w:rsidRPr="00225669">
              <w:rPr>
                <w:rFonts w:eastAsia="Times New Roman" w:cs="Arial"/>
                <w:color w:val="000000"/>
                <w:sz w:val="20"/>
                <w:szCs w:val="20"/>
              </w:rPr>
              <w:t>reas</w:t>
            </w:r>
            <w:r w:rsidR="00C25DE3" w:rsidRPr="00225669">
              <w:rPr>
                <w:rFonts w:eastAsia="Times New Roman" w:cs="Arial"/>
                <w:color w:val="000000"/>
                <w:sz w:val="20"/>
                <w:szCs w:val="20"/>
              </w:rPr>
              <w:t>, etc.</w:t>
            </w:r>
          </w:p>
          <w:p w14:paraId="5762E7A9" w14:textId="77777777" w:rsidR="00C25DE3" w:rsidRPr="00225669" w:rsidRDefault="00C25DE3" w:rsidP="00C25DE3">
            <w:pPr>
              <w:jc w:val="both"/>
              <w:rPr>
                <w:rFonts w:eastAsia="Times New Roman" w:cs="Arial"/>
                <w:color w:val="000000"/>
                <w:sz w:val="20"/>
                <w:szCs w:val="20"/>
              </w:rPr>
            </w:pPr>
          </w:p>
          <w:p w14:paraId="740DBE2C" w14:textId="6C78E8FA" w:rsidR="004C4A79" w:rsidRPr="00225669" w:rsidRDefault="00C25DE3" w:rsidP="00C25DE3">
            <w:pPr>
              <w:jc w:val="both"/>
              <w:rPr>
                <w:rFonts w:eastAsia="Times New Roman" w:cs="Arial"/>
                <w:color w:val="000000"/>
                <w:sz w:val="20"/>
                <w:szCs w:val="20"/>
              </w:rPr>
            </w:pPr>
            <w:r w:rsidRPr="00225669">
              <w:rPr>
                <w:rFonts w:eastAsia="Times New Roman" w:cs="Arial"/>
                <w:color w:val="000000"/>
                <w:sz w:val="20"/>
                <w:szCs w:val="20"/>
              </w:rPr>
              <w:t xml:space="preserve">While the proclaimed mandate of these organisations is to develop the region, in practice, they have not achieved a lot of success in this regard. While their power (mandate) for development in the region may be medium, their interest in development (measured by the success achieved so far) is quite low given the </w:t>
            </w:r>
            <w:r w:rsidR="004C4A79" w:rsidRPr="00225669">
              <w:rPr>
                <w:rFonts w:eastAsia="Times New Roman" w:cs="Arial"/>
                <w:color w:val="000000"/>
                <w:sz w:val="20"/>
                <w:szCs w:val="20"/>
              </w:rPr>
              <w:t>poor state of development of the region.</w:t>
            </w:r>
          </w:p>
        </w:tc>
      </w:tr>
      <w:tr w:rsidR="004C4A79" w:rsidRPr="00225669" w14:paraId="4991B85B" w14:textId="77777777" w:rsidTr="005D2294">
        <w:trPr>
          <w:trHeight w:val="67"/>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5F6AEDD7" w14:textId="1EF6AEE6"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10</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24332C5F" w14:textId="3B7820B8"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Internati</w:t>
            </w:r>
            <w:r w:rsidR="00E100CC" w:rsidRPr="00225669">
              <w:rPr>
                <w:rFonts w:eastAsia="Times New Roman" w:cs="Arial"/>
                <w:color w:val="000000"/>
                <w:sz w:val="20"/>
                <w:szCs w:val="20"/>
              </w:rPr>
              <w:t>onal Development Partners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5A39F521" w14:textId="21820B0A" w:rsidR="004C4A79" w:rsidRPr="00225669" w:rsidRDefault="00A45521" w:rsidP="004C4A79">
            <w:pPr>
              <w:jc w:val="center"/>
              <w:rPr>
                <w:rFonts w:eastAsia="Times New Roman" w:cs="Arial"/>
                <w:color w:val="000000"/>
                <w:sz w:val="20"/>
                <w:szCs w:val="20"/>
              </w:rPr>
            </w:pPr>
            <w:r w:rsidRPr="00225669">
              <w:rPr>
                <w:rFonts w:eastAsia="Times New Roman" w:cs="Arial"/>
                <w:color w:val="000000"/>
                <w:sz w:val="20"/>
                <w:szCs w:val="20"/>
              </w:rPr>
              <w:t>6</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7C7DCACD"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7</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00DA162F" w14:textId="31B49F62" w:rsidR="004C4A79" w:rsidRPr="00225669" w:rsidRDefault="00A45521" w:rsidP="00A45521">
            <w:pPr>
              <w:jc w:val="both"/>
              <w:rPr>
                <w:rFonts w:eastAsia="Times New Roman" w:cs="Arial"/>
                <w:color w:val="000000"/>
                <w:sz w:val="20"/>
                <w:szCs w:val="20"/>
              </w:rPr>
            </w:pPr>
            <w:r w:rsidRPr="00225669">
              <w:rPr>
                <w:rFonts w:eastAsia="Times New Roman" w:cs="Arial"/>
                <w:color w:val="000000"/>
                <w:sz w:val="20"/>
                <w:szCs w:val="20"/>
              </w:rPr>
              <w:t>This category</w:t>
            </w:r>
            <w:r w:rsidR="004C4A79" w:rsidRPr="00225669">
              <w:rPr>
                <w:rFonts w:eastAsia="Times New Roman" w:cs="Arial"/>
                <w:color w:val="000000"/>
                <w:sz w:val="20"/>
                <w:szCs w:val="20"/>
              </w:rPr>
              <w:t xml:space="preserve"> include</w:t>
            </w:r>
            <w:r w:rsidRPr="00225669">
              <w:rPr>
                <w:rFonts w:eastAsia="Times New Roman" w:cs="Arial"/>
                <w:color w:val="000000"/>
                <w:sz w:val="20"/>
                <w:szCs w:val="20"/>
              </w:rPr>
              <w:t>s</w:t>
            </w:r>
            <w:r w:rsidR="004C4A79" w:rsidRPr="00225669">
              <w:rPr>
                <w:rFonts w:eastAsia="Times New Roman" w:cs="Arial"/>
                <w:color w:val="000000"/>
                <w:sz w:val="20"/>
                <w:szCs w:val="20"/>
              </w:rPr>
              <w:t xml:space="preserve"> international organisations</w:t>
            </w:r>
            <w:r w:rsidRPr="00225669">
              <w:rPr>
                <w:rFonts w:eastAsia="Times New Roman" w:cs="Arial"/>
                <w:color w:val="000000"/>
                <w:sz w:val="20"/>
                <w:szCs w:val="20"/>
              </w:rPr>
              <w:t xml:space="preserve"> and development agencies </w:t>
            </w:r>
            <w:r w:rsidR="004C4A79" w:rsidRPr="00225669">
              <w:rPr>
                <w:rFonts w:eastAsia="Times New Roman" w:cs="Arial"/>
                <w:color w:val="000000"/>
                <w:sz w:val="20"/>
                <w:szCs w:val="20"/>
              </w:rPr>
              <w:t xml:space="preserve">that fund programmes aimed at improving the quality of life of the people in the region. Typically, they integrate the development objectives of the local communities to address socio-economic challenges in the Niger Delta. </w:t>
            </w:r>
            <w:r w:rsidRPr="00225669">
              <w:rPr>
                <w:rFonts w:eastAsia="Times New Roman" w:cs="Arial"/>
                <w:color w:val="000000"/>
                <w:sz w:val="20"/>
                <w:szCs w:val="20"/>
              </w:rPr>
              <w:t>These groups</w:t>
            </w:r>
            <w:r w:rsidR="004C4A79" w:rsidRPr="00225669">
              <w:rPr>
                <w:rFonts w:eastAsia="Times New Roman" w:cs="Arial"/>
                <w:color w:val="000000"/>
                <w:sz w:val="20"/>
                <w:szCs w:val="20"/>
              </w:rPr>
              <w:t xml:space="preserve"> possess a medium level of power </w:t>
            </w:r>
            <w:r w:rsidRPr="00225669">
              <w:rPr>
                <w:rFonts w:eastAsia="Times New Roman" w:cs="Arial"/>
                <w:color w:val="000000"/>
                <w:sz w:val="20"/>
                <w:szCs w:val="20"/>
              </w:rPr>
              <w:t xml:space="preserve">(given their mandate) </w:t>
            </w:r>
            <w:r w:rsidR="004C4A79" w:rsidRPr="00225669">
              <w:rPr>
                <w:rFonts w:eastAsia="Times New Roman" w:cs="Arial"/>
                <w:color w:val="000000"/>
                <w:sz w:val="20"/>
                <w:szCs w:val="20"/>
              </w:rPr>
              <w:t>and a relatively high interest in development of the region</w:t>
            </w:r>
            <w:r w:rsidRPr="00225669">
              <w:rPr>
                <w:rFonts w:eastAsia="Times New Roman" w:cs="Arial"/>
                <w:color w:val="000000"/>
                <w:sz w:val="20"/>
                <w:szCs w:val="20"/>
              </w:rPr>
              <w:t xml:space="preserve"> (given the successes they have been able to record)</w:t>
            </w:r>
            <w:r w:rsidR="004C4A79" w:rsidRPr="00225669">
              <w:rPr>
                <w:rFonts w:eastAsia="Times New Roman" w:cs="Arial"/>
                <w:color w:val="000000"/>
                <w:sz w:val="20"/>
                <w:szCs w:val="20"/>
              </w:rPr>
              <w:t>.</w:t>
            </w:r>
          </w:p>
        </w:tc>
      </w:tr>
      <w:tr w:rsidR="004C4A79" w:rsidRPr="00225669" w14:paraId="27D93866" w14:textId="77777777" w:rsidTr="005D2294">
        <w:trPr>
          <w:trHeight w:val="67"/>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765A4623"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11</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0041922C" w14:textId="4E28AA60"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Ci</w:t>
            </w:r>
            <w:r w:rsidR="00E100CC" w:rsidRPr="00225669">
              <w:rPr>
                <w:rFonts w:eastAsia="Times New Roman" w:cs="Arial"/>
                <w:color w:val="000000"/>
                <w:sz w:val="20"/>
                <w:szCs w:val="20"/>
              </w:rPr>
              <w:t>vil Society Organisations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6E91535C"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3</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5837E529"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8</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735F3DF8" w14:textId="675070C2" w:rsidR="004C4A79" w:rsidRPr="00225669" w:rsidRDefault="004C4A79" w:rsidP="00E100CC">
            <w:pPr>
              <w:jc w:val="both"/>
              <w:rPr>
                <w:rFonts w:eastAsia="Times New Roman" w:cs="Arial"/>
                <w:color w:val="000000"/>
                <w:sz w:val="20"/>
                <w:szCs w:val="20"/>
              </w:rPr>
            </w:pPr>
            <w:r w:rsidRPr="00225669">
              <w:rPr>
                <w:rFonts w:eastAsia="Times New Roman" w:cs="Arial"/>
                <w:color w:val="000000"/>
                <w:sz w:val="20"/>
                <w:szCs w:val="20"/>
              </w:rPr>
              <w:t xml:space="preserve">These </w:t>
            </w:r>
            <w:r w:rsidR="00AB6A2D" w:rsidRPr="00225669">
              <w:rPr>
                <w:rFonts w:eastAsia="Times New Roman" w:cs="Arial"/>
                <w:color w:val="000000"/>
                <w:sz w:val="20"/>
                <w:szCs w:val="20"/>
              </w:rPr>
              <w:t xml:space="preserve">groups </w:t>
            </w:r>
            <w:r w:rsidRPr="00225669">
              <w:rPr>
                <w:rFonts w:eastAsia="Times New Roman" w:cs="Arial"/>
                <w:color w:val="000000"/>
                <w:sz w:val="20"/>
                <w:szCs w:val="20"/>
              </w:rPr>
              <w:t xml:space="preserve">include </w:t>
            </w:r>
            <w:r w:rsidR="00AB6A2D" w:rsidRPr="00225669">
              <w:rPr>
                <w:rFonts w:eastAsia="Times New Roman" w:cs="Arial"/>
                <w:color w:val="000000"/>
                <w:sz w:val="20"/>
                <w:szCs w:val="20"/>
              </w:rPr>
              <w:t xml:space="preserve">the </w:t>
            </w:r>
            <w:r w:rsidRPr="00225669">
              <w:rPr>
                <w:rFonts w:eastAsia="Times New Roman" w:cs="Arial"/>
                <w:color w:val="000000"/>
                <w:sz w:val="20"/>
                <w:szCs w:val="20"/>
              </w:rPr>
              <w:t>labour u</w:t>
            </w:r>
            <w:r w:rsidR="00AB6A2D" w:rsidRPr="00225669">
              <w:rPr>
                <w:rFonts w:eastAsia="Times New Roman" w:cs="Arial"/>
                <w:color w:val="000000"/>
                <w:sz w:val="20"/>
                <w:szCs w:val="20"/>
              </w:rPr>
              <w:t>nions, local community groups, n</w:t>
            </w:r>
            <w:r w:rsidRPr="00225669">
              <w:rPr>
                <w:rFonts w:eastAsia="Times New Roman" w:cs="Arial"/>
                <w:color w:val="000000"/>
                <w:sz w:val="20"/>
                <w:szCs w:val="20"/>
              </w:rPr>
              <w:t>on-</w:t>
            </w:r>
            <w:r w:rsidR="00AB6A2D" w:rsidRPr="00225669">
              <w:rPr>
                <w:rFonts w:eastAsia="Times New Roman" w:cs="Arial"/>
                <w:color w:val="000000"/>
                <w:sz w:val="20"/>
                <w:szCs w:val="20"/>
              </w:rPr>
              <w:t>g</w:t>
            </w:r>
            <w:r w:rsidRPr="00225669">
              <w:rPr>
                <w:rFonts w:eastAsia="Times New Roman" w:cs="Arial"/>
                <w:color w:val="000000"/>
                <w:sz w:val="20"/>
                <w:szCs w:val="20"/>
              </w:rPr>
              <w:t xml:space="preserve">overnmental </w:t>
            </w:r>
            <w:r w:rsidR="00AB6A2D" w:rsidRPr="00225669">
              <w:rPr>
                <w:rFonts w:eastAsia="Times New Roman" w:cs="Arial"/>
                <w:color w:val="000000"/>
                <w:sz w:val="20"/>
                <w:szCs w:val="20"/>
              </w:rPr>
              <w:t>o</w:t>
            </w:r>
            <w:r w:rsidRPr="00225669">
              <w:rPr>
                <w:rFonts w:eastAsia="Times New Roman" w:cs="Arial"/>
                <w:color w:val="000000"/>
                <w:sz w:val="20"/>
                <w:szCs w:val="20"/>
              </w:rPr>
              <w:t>rganizations, philanthropic foundations, and think tanks operating in the Niger Delta region. C</w:t>
            </w:r>
            <w:r w:rsidR="00E50D32" w:rsidRPr="00225669">
              <w:rPr>
                <w:rFonts w:eastAsia="Times New Roman" w:cs="Arial"/>
                <w:color w:val="000000"/>
                <w:sz w:val="20"/>
                <w:szCs w:val="20"/>
              </w:rPr>
              <w:t xml:space="preserve">ivil </w:t>
            </w:r>
            <w:r w:rsidRPr="00225669">
              <w:rPr>
                <w:rFonts w:eastAsia="Times New Roman" w:cs="Arial"/>
                <w:color w:val="000000"/>
                <w:sz w:val="20"/>
                <w:szCs w:val="20"/>
              </w:rPr>
              <w:t>S</w:t>
            </w:r>
            <w:r w:rsidR="00E50D32" w:rsidRPr="00225669">
              <w:rPr>
                <w:rFonts w:eastAsia="Times New Roman" w:cs="Arial"/>
                <w:color w:val="000000"/>
                <w:sz w:val="20"/>
                <w:szCs w:val="20"/>
              </w:rPr>
              <w:t xml:space="preserve">ociety </w:t>
            </w:r>
            <w:r w:rsidRPr="00225669">
              <w:rPr>
                <w:rFonts w:eastAsia="Times New Roman" w:cs="Arial"/>
                <w:color w:val="000000"/>
                <w:sz w:val="20"/>
                <w:szCs w:val="20"/>
              </w:rPr>
              <w:t>O</w:t>
            </w:r>
            <w:r w:rsidR="00E50D32" w:rsidRPr="00225669">
              <w:rPr>
                <w:rFonts w:eastAsia="Times New Roman" w:cs="Arial"/>
                <w:color w:val="000000"/>
                <w:sz w:val="20"/>
                <w:szCs w:val="20"/>
              </w:rPr>
              <w:t>rganisation</w:t>
            </w:r>
            <w:r w:rsidRPr="00225669">
              <w:rPr>
                <w:rFonts w:eastAsia="Times New Roman" w:cs="Arial"/>
                <w:color w:val="000000"/>
                <w:sz w:val="20"/>
                <w:szCs w:val="20"/>
              </w:rPr>
              <w:t xml:space="preserve">s possess a relatively low power and influence but have a high interest in development of the region, as a stable Niger Delta region </w:t>
            </w:r>
            <w:r w:rsidR="00E100CC" w:rsidRPr="00225669">
              <w:rPr>
                <w:rFonts w:eastAsia="Times New Roman" w:cs="Arial"/>
                <w:color w:val="000000"/>
                <w:sz w:val="20"/>
                <w:szCs w:val="20"/>
              </w:rPr>
              <w:t>would</w:t>
            </w:r>
            <w:r w:rsidRPr="00225669">
              <w:rPr>
                <w:rFonts w:eastAsia="Times New Roman" w:cs="Arial"/>
                <w:color w:val="000000"/>
                <w:sz w:val="20"/>
                <w:szCs w:val="20"/>
              </w:rPr>
              <w:t xml:space="preserve"> enable them </w:t>
            </w:r>
            <w:r w:rsidR="00E50D32" w:rsidRPr="00225669">
              <w:rPr>
                <w:rFonts w:eastAsia="Times New Roman" w:cs="Arial"/>
                <w:color w:val="000000"/>
                <w:sz w:val="20"/>
                <w:szCs w:val="20"/>
              </w:rPr>
              <w:t xml:space="preserve">to effectively </w:t>
            </w:r>
            <w:r w:rsidRPr="00225669">
              <w:rPr>
                <w:rFonts w:eastAsia="Times New Roman" w:cs="Arial"/>
                <w:color w:val="000000"/>
                <w:sz w:val="20"/>
                <w:szCs w:val="20"/>
              </w:rPr>
              <w:t>carry</w:t>
            </w:r>
            <w:r w:rsidR="00E50D32" w:rsidRPr="00225669">
              <w:rPr>
                <w:rFonts w:eastAsia="Times New Roman" w:cs="Arial"/>
                <w:color w:val="000000"/>
                <w:sz w:val="20"/>
                <w:szCs w:val="20"/>
              </w:rPr>
              <w:t xml:space="preserve"> out their operations</w:t>
            </w:r>
            <w:r w:rsidRPr="00225669">
              <w:rPr>
                <w:rFonts w:eastAsia="Times New Roman" w:cs="Arial"/>
                <w:color w:val="000000"/>
                <w:sz w:val="20"/>
                <w:szCs w:val="20"/>
              </w:rPr>
              <w:t>.</w:t>
            </w:r>
          </w:p>
        </w:tc>
      </w:tr>
      <w:tr w:rsidR="004C4A79" w:rsidRPr="00225669" w14:paraId="496C6FB1" w14:textId="77777777" w:rsidTr="005D2294">
        <w:trPr>
          <w:trHeight w:val="328"/>
        </w:trPr>
        <w:tc>
          <w:tcPr>
            <w:tcW w:w="568" w:type="dxa"/>
            <w:tcBorders>
              <w:top w:val="single" w:sz="18" w:space="0" w:color="auto"/>
              <w:left w:val="single" w:sz="18" w:space="0" w:color="auto"/>
              <w:bottom w:val="single" w:sz="18" w:space="0" w:color="auto"/>
              <w:right w:val="single" w:sz="6" w:space="0" w:color="auto"/>
            </w:tcBorders>
            <w:shd w:val="clear" w:color="000000" w:fill="FFFFFF"/>
            <w:hideMark/>
          </w:tcPr>
          <w:p w14:paraId="53556AB5" w14:textId="77777777"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12</w:t>
            </w:r>
          </w:p>
        </w:tc>
        <w:tc>
          <w:tcPr>
            <w:tcW w:w="2126" w:type="dxa"/>
            <w:tcBorders>
              <w:top w:val="single" w:sz="18" w:space="0" w:color="auto"/>
              <w:left w:val="single" w:sz="6" w:space="0" w:color="auto"/>
              <w:bottom w:val="single" w:sz="18" w:space="0" w:color="auto"/>
              <w:right w:val="single" w:sz="6" w:space="0" w:color="auto"/>
            </w:tcBorders>
            <w:shd w:val="clear" w:color="000000" w:fill="FFFFFF"/>
            <w:hideMark/>
          </w:tcPr>
          <w:p w14:paraId="0EEB90CD" w14:textId="374004BC" w:rsidR="004C4A79" w:rsidRPr="00225669" w:rsidRDefault="00E100CC" w:rsidP="001B2A40">
            <w:pPr>
              <w:jc w:val="both"/>
              <w:rPr>
                <w:rFonts w:eastAsia="Times New Roman" w:cs="Arial"/>
                <w:color w:val="000000"/>
                <w:sz w:val="20"/>
                <w:szCs w:val="20"/>
              </w:rPr>
            </w:pPr>
            <w:r w:rsidRPr="00225669">
              <w:rPr>
                <w:rFonts w:eastAsia="Times New Roman" w:cs="Arial"/>
                <w:color w:val="000000"/>
                <w:sz w:val="20"/>
                <w:szCs w:val="20"/>
              </w:rPr>
              <w:t>Security Stabilis</w:t>
            </w:r>
            <w:r w:rsidR="004C4A79" w:rsidRPr="00225669">
              <w:rPr>
                <w:rFonts w:eastAsia="Times New Roman" w:cs="Arial"/>
                <w:color w:val="000000"/>
                <w:sz w:val="20"/>
                <w:szCs w:val="20"/>
              </w:rPr>
              <w:t>ation Institutions</w:t>
            </w:r>
          </w:p>
        </w:tc>
        <w:tc>
          <w:tcPr>
            <w:tcW w:w="850" w:type="dxa"/>
            <w:tcBorders>
              <w:top w:val="single" w:sz="18" w:space="0" w:color="auto"/>
              <w:left w:val="single" w:sz="6" w:space="0" w:color="auto"/>
              <w:bottom w:val="single" w:sz="18" w:space="0" w:color="auto"/>
              <w:right w:val="single" w:sz="6" w:space="0" w:color="auto"/>
            </w:tcBorders>
            <w:shd w:val="clear" w:color="000000" w:fill="FFFFFF"/>
            <w:hideMark/>
          </w:tcPr>
          <w:p w14:paraId="7E1EC34A"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6</w:t>
            </w:r>
          </w:p>
        </w:tc>
        <w:tc>
          <w:tcPr>
            <w:tcW w:w="993" w:type="dxa"/>
            <w:tcBorders>
              <w:top w:val="single" w:sz="18" w:space="0" w:color="auto"/>
              <w:left w:val="single" w:sz="6" w:space="0" w:color="auto"/>
              <w:bottom w:val="single" w:sz="18" w:space="0" w:color="auto"/>
              <w:right w:val="single" w:sz="6" w:space="0" w:color="auto"/>
            </w:tcBorders>
            <w:shd w:val="clear" w:color="000000" w:fill="FFFFFF"/>
            <w:hideMark/>
          </w:tcPr>
          <w:p w14:paraId="7D36DE46" w14:textId="77777777" w:rsidR="004C4A79" w:rsidRPr="00225669" w:rsidRDefault="004C4A79" w:rsidP="004C4A79">
            <w:pPr>
              <w:jc w:val="center"/>
              <w:rPr>
                <w:rFonts w:eastAsia="Times New Roman" w:cs="Arial"/>
                <w:color w:val="000000"/>
                <w:sz w:val="20"/>
                <w:szCs w:val="20"/>
              </w:rPr>
            </w:pPr>
            <w:r w:rsidRPr="00225669">
              <w:rPr>
                <w:rFonts w:eastAsia="Times New Roman" w:cs="Arial"/>
                <w:color w:val="000000"/>
                <w:sz w:val="20"/>
                <w:szCs w:val="20"/>
              </w:rPr>
              <w:t>4</w:t>
            </w:r>
          </w:p>
        </w:tc>
        <w:tc>
          <w:tcPr>
            <w:tcW w:w="10285" w:type="dxa"/>
            <w:tcBorders>
              <w:top w:val="single" w:sz="18" w:space="0" w:color="auto"/>
              <w:left w:val="single" w:sz="6" w:space="0" w:color="auto"/>
              <w:bottom w:val="single" w:sz="18" w:space="0" w:color="auto"/>
              <w:right w:val="single" w:sz="18" w:space="0" w:color="auto"/>
            </w:tcBorders>
            <w:shd w:val="clear" w:color="000000" w:fill="FFFFFF"/>
            <w:hideMark/>
          </w:tcPr>
          <w:p w14:paraId="3CFA0EF4" w14:textId="25B31CF4" w:rsidR="004C4A79" w:rsidRPr="00225669" w:rsidRDefault="00716AB1" w:rsidP="001B2A40">
            <w:pPr>
              <w:jc w:val="both"/>
              <w:rPr>
                <w:rFonts w:eastAsia="Times New Roman" w:cs="Arial"/>
                <w:color w:val="000000"/>
                <w:sz w:val="20"/>
                <w:szCs w:val="20"/>
              </w:rPr>
            </w:pPr>
            <w:r w:rsidRPr="00225669">
              <w:rPr>
                <w:rFonts w:eastAsia="Times New Roman" w:cs="Arial"/>
                <w:color w:val="000000"/>
                <w:sz w:val="20"/>
                <w:szCs w:val="20"/>
              </w:rPr>
              <w:t>This group</w:t>
            </w:r>
            <w:r w:rsidR="004C4A79" w:rsidRPr="00225669">
              <w:rPr>
                <w:rFonts w:eastAsia="Times New Roman" w:cs="Arial"/>
                <w:color w:val="000000"/>
                <w:sz w:val="20"/>
                <w:szCs w:val="20"/>
              </w:rPr>
              <w:t xml:space="preserve"> include</w:t>
            </w:r>
            <w:r w:rsidRPr="00225669">
              <w:rPr>
                <w:rFonts w:eastAsia="Times New Roman" w:cs="Arial"/>
                <w:color w:val="000000"/>
                <w:sz w:val="20"/>
                <w:szCs w:val="20"/>
              </w:rPr>
              <w:t xml:space="preserve">s the Nigeria Military, Joint Task Force, </w:t>
            </w:r>
            <w:r w:rsidR="004C4A79" w:rsidRPr="00225669">
              <w:rPr>
                <w:rFonts w:eastAsia="Times New Roman" w:cs="Arial"/>
                <w:color w:val="000000"/>
                <w:sz w:val="20"/>
                <w:szCs w:val="20"/>
              </w:rPr>
              <w:t>Presidential Amnesty Programme</w:t>
            </w:r>
            <w:r w:rsidRPr="00225669">
              <w:rPr>
                <w:rFonts w:eastAsia="Times New Roman" w:cs="Arial"/>
                <w:color w:val="000000"/>
                <w:sz w:val="20"/>
                <w:szCs w:val="20"/>
              </w:rPr>
              <w:t>, and all other security and intelligence agencies</w:t>
            </w:r>
            <w:r w:rsidR="004C4A79" w:rsidRPr="00225669">
              <w:rPr>
                <w:rFonts w:eastAsia="Times New Roman" w:cs="Arial"/>
                <w:color w:val="000000"/>
                <w:sz w:val="20"/>
                <w:szCs w:val="20"/>
              </w:rPr>
              <w:t>. The mandate of the military and national security organizations includes peace maintena</w:t>
            </w:r>
            <w:r w:rsidRPr="00225669">
              <w:rPr>
                <w:rFonts w:eastAsia="Times New Roman" w:cs="Arial"/>
                <w:color w:val="000000"/>
                <w:sz w:val="20"/>
                <w:szCs w:val="20"/>
              </w:rPr>
              <w:t>nce and security stabilisation.</w:t>
            </w:r>
          </w:p>
          <w:p w14:paraId="2D6151CF" w14:textId="77777777" w:rsidR="00716AB1" w:rsidRPr="00225669" w:rsidRDefault="00716AB1" w:rsidP="001B2A40">
            <w:pPr>
              <w:jc w:val="both"/>
              <w:rPr>
                <w:rFonts w:eastAsia="Times New Roman" w:cs="Arial"/>
                <w:color w:val="000000"/>
                <w:sz w:val="20"/>
                <w:szCs w:val="20"/>
              </w:rPr>
            </w:pPr>
          </w:p>
          <w:p w14:paraId="601C734A" w14:textId="03012BD1" w:rsidR="004C4A79" w:rsidRPr="00225669" w:rsidRDefault="004C4A79" w:rsidP="001B2A40">
            <w:pPr>
              <w:jc w:val="both"/>
              <w:rPr>
                <w:rFonts w:eastAsia="Times New Roman" w:cs="Arial"/>
                <w:color w:val="000000"/>
                <w:sz w:val="20"/>
                <w:szCs w:val="20"/>
              </w:rPr>
            </w:pPr>
            <w:r w:rsidRPr="00225669">
              <w:rPr>
                <w:rFonts w:eastAsia="Times New Roman" w:cs="Arial"/>
                <w:color w:val="000000"/>
                <w:sz w:val="20"/>
                <w:szCs w:val="20"/>
              </w:rPr>
              <w:t>The Presidential Amnesty Programme (PAP) was instituted to coordinate the amnesty process between the Federal Government of Nigeria and the</w:t>
            </w:r>
            <w:r w:rsidR="00716AB1" w:rsidRPr="00225669">
              <w:rPr>
                <w:rFonts w:eastAsia="Times New Roman" w:cs="Arial"/>
                <w:color w:val="000000"/>
                <w:sz w:val="20"/>
                <w:szCs w:val="20"/>
              </w:rPr>
              <w:t xml:space="preserve"> ex-agitators in the Niger Delta</w:t>
            </w:r>
            <w:r w:rsidRPr="00225669">
              <w:rPr>
                <w:rFonts w:eastAsia="Times New Roman" w:cs="Arial"/>
                <w:color w:val="000000"/>
                <w:sz w:val="20"/>
                <w:szCs w:val="20"/>
              </w:rPr>
              <w:t xml:space="preserve"> for attainmen</w:t>
            </w:r>
            <w:r w:rsidR="00716AB1" w:rsidRPr="00225669">
              <w:rPr>
                <w:rFonts w:eastAsia="Times New Roman" w:cs="Arial"/>
                <w:color w:val="000000"/>
                <w:sz w:val="20"/>
                <w:szCs w:val="20"/>
              </w:rPr>
              <w:t>t of immediate security stabilisation in the region. PAP wa</w:t>
            </w:r>
            <w:r w:rsidRPr="00225669">
              <w:rPr>
                <w:rFonts w:eastAsia="Times New Roman" w:cs="Arial"/>
                <w:color w:val="000000"/>
                <w:sz w:val="20"/>
                <w:szCs w:val="20"/>
              </w:rPr>
              <w:t>s crea</w:t>
            </w:r>
            <w:r w:rsidR="00716AB1" w:rsidRPr="00225669">
              <w:rPr>
                <w:rFonts w:eastAsia="Times New Roman" w:cs="Arial"/>
                <w:color w:val="000000"/>
                <w:sz w:val="20"/>
                <w:szCs w:val="20"/>
              </w:rPr>
              <w:t>ted to achieve security stabilis</w:t>
            </w:r>
            <w:r w:rsidRPr="00225669">
              <w:rPr>
                <w:rFonts w:eastAsia="Times New Roman" w:cs="Arial"/>
                <w:color w:val="000000"/>
                <w:sz w:val="20"/>
                <w:szCs w:val="20"/>
              </w:rPr>
              <w:t>ation as a precondition for intensive development and socio-eco</w:t>
            </w:r>
            <w:r w:rsidR="00716AB1" w:rsidRPr="00225669">
              <w:rPr>
                <w:rFonts w:eastAsia="Times New Roman" w:cs="Arial"/>
                <w:color w:val="000000"/>
                <w:sz w:val="20"/>
                <w:szCs w:val="20"/>
              </w:rPr>
              <w:t>nomic activities in the region.</w:t>
            </w:r>
          </w:p>
          <w:p w14:paraId="5EFAA440" w14:textId="77777777" w:rsidR="00716AB1" w:rsidRPr="00225669" w:rsidRDefault="00716AB1" w:rsidP="001B2A40">
            <w:pPr>
              <w:jc w:val="both"/>
              <w:rPr>
                <w:rFonts w:eastAsia="Times New Roman" w:cs="Arial"/>
                <w:color w:val="000000"/>
                <w:sz w:val="20"/>
                <w:szCs w:val="20"/>
              </w:rPr>
            </w:pPr>
          </w:p>
          <w:p w14:paraId="3E7FD71E" w14:textId="4A1ADE8E" w:rsidR="004C4A79" w:rsidRPr="00225669" w:rsidRDefault="004C4A79" w:rsidP="00716AB1">
            <w:pPr>
              <w:jc w:val="both"/>
              <w:rPr>
                <w:rFonts w:eastAsia="Times New Roman" w:cs="Arial"/>
                <w:color w:val="000000"/>
                <w:sz w:val="20"/>
                <w:szCs w:val="20"/>
              </w:rPr>
            </w:pPr>
            <w:r w:rsidRPr="00225669">
              <w:rPr>
                <w:rFonts w:eastAsia="Times New Roman" w:cs="Arial"/>
                <w:color w:val="000000"/>
                <w:sz w:val="20"/>
                <w:szCs w:val="20"/>
              </w:rPr>
              <w:t>Although these institutions are mand</w:t>
            </w:r>
            <w:r w:rsidR="00716AB1" w:rsidRPr="00225669">
              <w:rPr>
                <w:rFonts w:eastAsia="Times New Roman" w:cs="Arial"/>
                <w:color w:val="000000"/>
                <w:sz w:val="20"/>
                <w:szCs w:val="20"/>
              </w:rPr>
              <w:t>ated to ensure security stabilis</w:t>
            </w:r>
            <w:r w:rsidRPr="00225669">
              <w:rPr>
                <w:rFonts w:eastAsia="Times New Roman" w:cs="Arial"/>
                <w:color w:val="000000"/>
                <w:sz w:val="20"/>
                <w:szCs w:val="20"/>
              </w:rPr>
              <w:t>ation, the</w:t>
            </w:r>
            <w:r w:rsidR="00716AB1" w:rsidRPr="00225669">
              <w:rPr>
                <w:rFonts w:eastAsia="Times New Roman" w:cs="Arial"/>
                <w:color w:val="000000"/>
                <w:sz w:val="20"/>
                <w:szCs w:val="20"/>
              </w:rPr>
              <w:t xml:space="preserve">ir results to date betray a </w:t>
            </w:r>
            <w:r w:rsidRPr="00225669">
              <w:rPr>
                <w:rFonts w:eastAsia="Times New Roman" w:cs="Arial"/>
                <w:color w:val="000000"/>
                <w:sz w:val="20"/>
                <w:szCs w:val="20"/>
              </w:rPr>
              <w:t>relatively low interest in the development of the region</w:t>
            </w:r>
            <w:r w:rsidR="00716AB1" w:rsidRPr="00225669">
              <w:rPr>
                <w:rFonts w:eastAsia="Times New Roman" w:cs="Arial"/>
                <w:color w:val="000000"/>
                <w:sz w:val="20"/>
                <w:szCs w:val="20"/>
              </w:rPr>
              <w:t xml:space="preserve">. This could be because of their self-serving </w:t>
            </w:r>
            <w:r w:rsidRPr="00225669">
              <w:rPr>
                <w:rFonts w:eastAsia="Times New Roman" w:cs="Arial"/>
                <w:color w:val="000000"/>
                <w:sz w:val="20"/>
                <w:szCs w:val="20"/>
              </w:rPr>
              <w:t>interests.</w:t>
            </w:r>
          </w:p>
        </w:tc>
      </w:tr>
    </w:tbl>
    <w:p w14:paraId="75380D66" w14:textId="77777777" w:rsidR="006819A6" w:rsidRPr="00225669" w:rsidRDefault="006819A6" w:rsidP="00EB2031">
      <w:pPr>
        <w:pStyle w:val="TableList"/>
        <w:numPr>
          <w:ilvl w:val="0"/>
          <w:numId w:val="0"/>
        </w:numPr>
      </w:pPr>
    </w:p>
    <w:p w14:paraId="02670423" w14:textId="77777777" w:rsidR="006819A6" w:rsidRPr="00225669" w:rsidRDefault="006819A6" w:rsidP="00EB2031">
      <w:pPr>
        <w:pStyle w:val="TableList"/>
        <w:numPr>
          <w:ilvl w:val="0"/>
          <w:numId w:val="0"/>
        </w:numPr>
        <w:ind w:left="360"/>
      </w:pPr>
    </w:p>
    <w:p w14:paraId="06257862" w14:textId="77777777" w:rsidR="00F63C7C" w:rsidRPr="00225669" w:rsidRDefault="00F63C7C" w:rsidP="00137DFE">
      <w:pPr>
        <w:widowControl w:val="0"/>
        <w:autoSpaceDE w:val="0"/>
        <w:autoSpaceDN w:val="0"/>
        <w:adjustRightInd w:val="0"/>
        <w:jc w:val="both"/>
        <w:rPr>
          <w:rFonts w:cs="Arial"/>
          <w:sz w:val="22"/>
        </w:rPr>
        <w:sectPr w:rsidR="00F63C7C" w:rsidRPr="00225669" w:rsidSect="00F63C7C">
          <w:pgSz w:w="16840" w:h="11900" w:orient="landscape"/>
          <w:pgMar w:top="1418" w:right="1134" w:bottom="1418" w:left="1134" w:header="709" w:footer="709" w:gutter="0"/>
          <w:cols w:space="708"/>
          <w:titlePg/>
          <w:docGrid w:linePitch="360"/>
        </w:sectPr>
      </w:pPr>
    </w:p>
    <w:p w14:paraId="3D04A77B" w14:textId="77777777" w:rsidR="006002AB" w:rsidRPr="00225669" w:rsidRDefault="006002AB" w:rsidP="00137DFE">
      <w:pPr>
        <w:pStyle w:val="Heading2"/>
        <w:rPr>
          <w:rFonts w:ascii="Arial" w:hAnsi="Arial" w:cs="Arial"/>
        </w:rPr>
      </w:pPr>
      <w:bookmarkStart w:id="41" w:name="_Toc311709510"/>
      <w:r w:rsidRPr="00225669">
        <w:rPr>
          <w:rFonts w:ascii="Arial" w:hAnsi="Arial" w:cs="Arial"/>
        </w:rPr>
        <w:t>Stakeholder Mapping and Analysis</w:t>
      </w:r>
      <w:bookmarkEnd w:id="41"/>
    </w:p>
    <w:p w14:paraId="10177FE6" w14:textId="30353DDE" w:rsidR="004C4A79" w:rsidRPr="00225669" w:rsidRDefault="004C4A79" w:rsidP="004C4A79">
      <w:pPr>
        <w:jc w:val="both"/>
        <w:rPr>
          <w:rFonts w:cs="Arial"/>
        </w:rPr>
      </w:pPr>
      <w:r w:rsidRPr="00225669">
        <w:rPr>
          <w:rFonts w:cs="Arial"/>
        </w:rPr>
        <w:t>The stakeholder</w:t>
      </w:r>
      <w:r w:rsidR="00FB5C35" w:rsidRPr="00225669">
        <w:rPr>
          <w:rFonts w:cs="Arial"/>
        </w:rPr>
        <w:t>s are grouped under four quadrants on the interplay between power and interest to drive development in the Niger Delta region.</w:t>
      </w:r>
    </w:p>
    <w:p w14:paraId="70924AE1" w14:textId="77777777" w:rsidR="004C4A79" w:rsidRPr="00225669" w:rsidRDefault="004C4A79" w:rsidP="004C4A79">
      <w:pPr>
        <w:jc w:val="both"/>
        <w:rPr>
          <w:rFonts w:cs="Arial"/>
        </w:rPr>
      </w:pPr>
    </w:p>
    <w:p w14:paraId="374FA003" w14:textId="77777777" w:rsidR="004C4A79" w:rsidRPr="00225669" w:rsidRDefault="004C4A79" w:rsidP="004C4A79">
      <w:pPr>
        <w:pStyle w:val="Heading3"/>
      </w:pPr>
      <w:bookmarkStart w:id="42" w:name="_Toc311709511"/>
      <w:r w:rsidRPr="00225669">
        <w:t>Quadrant 1 (Q1): High Power, High Interest</w:t>
      </w:r>
      <w:bookmarkEnd w:id="42"/>
    </w:p>
    <w:p w14:paraId="04BA59C0" w14:textId="49C0C6D5" w:rsidR="004C4A79" w:rsidRPr="00225669" w:rsidRDefault="004C4A79" w:rsidP="004C4A79">
      <w:pPr>
        <w:jc w:val="both"/>
        <w:rPr>
          <w:rFonts w:cs="Arial"/>
        </w:rPr>
      </w:pPr>
      <w:r w:rsidRPr="00225669">
        <w:rPr>
          <w:rFonts w:cs="Arial"/>
        </w:rPr>
        <w:t>The</w:t>
      </w:r>
      <w:r w:rsidR="00AC1799" w:rsidRPr="00225669">
        <w:rPr>
          <w:rFonts w:cs="Arial"/>
        </w:rPr>
        <w:t xml:space="preserve"> groups</w:t>
      </w:r>
      <w:r w:rsidRPr="00225669">
        <w:rPr>
          <w:rFonts w:cs="Arial"/>
        </w:rPr>
        <w:t xml:space="preserve"> </w:t>
      </w:r>
      <w:r w:rsidR="00AC1799" w:rsidRPr="00225669">
        <w:rPr>
          <w:rFonts w:cs="Arial"/>
        </w:rPr>
        <w:t xml:space="preserve">in Quadrant 1 (high power and high interest) are the </w:t>
      </w:r>
      <w:r w:rsidRPr="00225669">
        <w:rPr>
          <w:rFonts w:cs="Arial"/>
        </w:rPr>
        <w:t xml:space="preserve">key </w:t>
      </w:r>
      <w:r w:rsidR="00AC1799" w:rsidRPr="00225669">
        <w:rPr>
          <w:rFonts w:cs="Arial"/>
        </w:rPr>
        <w:t xml:space="preserve">stakeholders in the region. </w:t>
      </w:r>
      <w:r w:rsidRPr="00225669">
        <w:rPr>
          <w:rFonts w:cs="Arial"/>
        </w:rPr>
        <w:t>They are mostly involved in governance and decision making processes</w:t>
      </w:r>
      <w:r w:rsidR="00AC1799" w:rsidRPr="00225669">
        <w:rPr>
          <w:rFonts w:cs="Arial"/>
        </w:rPr>
        <w:t xml:space="preserve"> and should be consulted regularly before decisions are made</w:t>
      </w:r>
      <w:r w:rsidRPr="00225669">
        <w:rPr>
          <w:rFonts w:cs="Arial"/>
        </w:rPr>
        <w:t>. The Federal Government (Presidency) possesses the highest level of power and interest in this quadrant. The traditional rulers and community leaders, international development partners and international oil companies all have medium levels of power but hi</w:t>
      </w:r>
      <w:r w:rsidR="00AC1799" w:rsidRPr="00225669">
        <w:rPr>
          <w:rFonts w:cs="Arial"/>
        </w:rPr>
        <w:t>gh interest in security stabilis</w:t>
      </w:r>
      <w:r w:rsidRPr="00225669">
        <w:rPr>
          <w:rFonts w:cs="Arial"/>
        </w:rPr>
        <w:t>ation and development of the Niger Delta region.</w:t>
      </w:r>
      <w:r w:rsidR="001C2142">
        <w:rPr>
          <w:rFonts w:cs="Arial"/>
        </w:rPr>
        <w:t xml:space="preserve"> This group includes the Federal Government (Presidency), traditional rules and community leaders, international development partners, and international oil companies.</w:t>
      </w:r>
    </w:p>
    <w:p w14:paraId="7C11D93D" w14:textId="77777777" w:rsidR="004C4A79" w:rsidRPr="00225669" w:rsidRDefault="004C4A79" w:rsidP="004C4A79">
      <w:pPr>
        <w:jc w:val="both"/>
        <w:rPr>
          <w:rFonts w:cs="Arial"/>
        </w:rPr>
      </w:pPr>
    </w:p>
    <w:p w14:paraId="4F708CC4" w14:textId="6A909993" w:rsidR="004C4A79" w:rsidRPr="00225669" w:rsidRDefault="004C4A79" w:rsidP="00AC1799">
      <w:pPr>
        <w:pStyle w:val="ListParagraph"/>
        <w:widowControl w:val="0"/>
        <w:numPr>
          <w:ilvl w:val="0"/>
          <w:numId w:val="38"/>
        </w:numPr>
        <w:tabs>
          <w:tab w:val="num" w:pos="993"/>
        </w:tabs>
        <w:autoSpaceDE w:val="0"/>
        <w:autoSpaceDN w:val="0"/>
        <w:adjustRightInd w:val="0"/>
        <w:jc w:val="both"/>
        <w:rPr>
          <w:rFonts w:cs="Arial"/>
          <w:sz w:val="20"/>
        </w:rPr>
      </w:pPr>
      <w:r w:rsidRPr="00225669">
        <w:rPr>
          <w:rFonts w:cs="Arial"/>
          <w:sz w:val="20"/>
        </w:rPr>
        <w:t>Schematic showing stakeholder mapping in the Niger De</w:t>
      </w:r>
      <w:r w:rsidR="001D1B18" w:rsidRPr="00225669">
        <w:rPr>
          <w:rFonts w:cs="Arial"/>
          <w:sz w:val="20"/>
        </w:rPr>
        <w:t>lta towards security stabilis</w:t>
      </w:r>
      <w:r w:rsidRPr="00225669">
        <w:rPr>
          <w:rFonts w:cs="Arial"/>
          <w:sz w:val="20"/>
        </w:rPr>
        <w:t>ation and development.</w:t>
      </w:r>
    </w:p>
    <w:p w14:paraId="2BD51B56" w14:textId="77777777" w:rsidR="004C4A79" w:rsidRPr="00225669" w:rsidRDefault="004C4A79" w:rsidP="004C4A79">
      <w:pPr>
        <w:jc w:val="both"/>
        <w:rPr>
          <w:rFonts w:cs="Arial"/>
        </w:rPr>
      </w:pPr>
    </w:p>
    <w:p w14:paraId="7699E343" w14:textId="77777777" w:rsidR="00BE388B" w:rsidRPr="00225669" w:rsidRDefault="00674714" w:rsidP="00137DFE">
      <w:pPr>
        <w:widowControl w:val="0"/>
        <w:autoSpaceDE w:val="0"/>
        <w:autoSpaceDN w:val="0"/>
        <w:adjustRightInd w:val="0"/>
        <w:jc w:val="both"/>
        <w:rPr>
          <w:rFonts w:cs="Arial"/>
          <w:sz w:val="22"/>
        </w:rPr>
      </w:pPr>
      <w:r w:rsidRPr="00225669">
        <w:rPr>
          <w:rFonts w:cs="Arial"/>
          <w:noProof/>
          <w:sz w:val="22"/>
          <w:lang w:val="en-US"/>
        </w:rPr>
        <w:drawing>
          <wp:inline distT="0" distB="0" distL="0" distR="0" wp14:anchorId="43841DF1" wp14:editId="3E7D8962">
            <wp:extent cx="5755640" cy="4294479"/>
            <wp:effectExtent l="0" t="0" r="1016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40" cy="4294479"/>
                    </a:xfrm>
                    <a:prstGeom prst="rect">
                      <a:avLst/>
                    </a:prstGeom>
                    <a:noFill/>
                    <a:ln>
                      <a:noFill/>
                    </a:ln>
                  </pic:spPr>
                </pic:pic>
              </a:graphicData>
            </a:graphic>
          </wp:inline>
        </w:drawing>
      </w:r>
    </w:p>
    <w:p w14:paraId="50CC79FC" w14:textId="1B6B946F" w:rsidR="004C4A79" w:rsidRPr="00225669" w:rsidRDefault="004C4A79" w:rsidP="004C4A79">
      <w:pPr>
        <w:jc w:val="both"/>
        <w:rPr>
          <w:rFonts w:cs="Arial"/>
        </w:rPr>
      </w:pPr>
    </w:p>
    <w:p w14:paraId="14C813A2" w14:textId="77777777" w:rsidR="005A2C88" w:rsidRPr="00225669" w:rsidRDefault="00A32D8C" w:rsidP="004C4A79">
      <w:pPr>
        <w:pStyle w:val="Heading3"/>
      </w:pPr>
      <w:bookmarkStart w:id="43" w:name="_Toc311709512"/>
      <w:r w:rsidRPr="00225669">
        <w:t>Quadrant 2 (Q2): High Power, Low Interest</w:t>
      </w:r>
      <w:bookmarkEnd w:id="43"/>
    </w:p>
    <w:p w14:paraId="5AA5F3D5" w14:textId="75A12433" w:rsidR="005A2C88" w:rsidRPr="00225669" w:rsidRDefault="005A2C88" w:rsidP="00137DFE">
      <w:pPr>
        <w:jc w:val="both"/>
        <w:rPr>
          <w:rFonts w:cs="Arial"/>
        </w:rPr>
      </w:pPr>
      <w:r w:rsidRPr="00225669">
        <w:rPr>
          <w:rFonts w:cs="Arial"/>
        </w:rPr>
        <w:t xml:space="preserve">This group of stakeholders </w:t>
      </w:r>
      <w:r w:rsidR="00225669">
        <w:rPr>
          <w:rFonts w:cs="Arial"/>
        </w:rPr>
        <w:t xml:space="preserve">have high power to drive development in the Niger Delta region but demonstrated low interest in the issue. They are critical </w:t>
      </w:r>
      <w:r w:rsidRPr="00225669">
        <w:rPr>
          <w:rFonts w:cs="Arial"/>
        </w:rPr>
        <w:t>stakeholders due to their position on the po</w:t>
      </w:r>
      <w:r w:rsidR="00225669">
        <w:rPr>
          <w:rFonts w:cs="Arial"/>
        </w:rPr>
        <w:t>wer-</w:t>
      </w:r>
      <w:r w:rsidRPr="00225669">
        <w:rPr>
          <w:rFonts w:cs="Arial"/>
        </w:rPr>
        <w:t xml:space="preserve">interest chart. They must be engaged and consulted on </w:t>
      </w:r>
      <w:r w:rsidR="00225669">
        <w:rPr>
          <w:rFonts w:cs="Arial"/>
        </w:rPr>
        <w:t xml:space="preserve">critical issues and </w:t>
      </w:r>
      <w:r w:rsidRPr="00225669">
        <w:rPr>
          <w:rFonts w:cs="Arial"/>
        </w:rPr>
        <w:t>must be kept informed. Attention should be p</w:t>
      </w:r>
      <w:r w:rsidR="00674714" w:rsidRPr="00225669">
        <w:rPr>
          <w:rFonts w:cs="Arial"/>
        </w:rPr>
        <w:t xml:space="preserve">aid to them </w:t>
      </w:r>
      <w:r w:rsidR="00A32D8C" w:rsidRPr="00225669">
        <w:rPr>
          <w:rFonts w:cs="Arial"/>
        </w:rPr>
        <w:t xml:space="preserve">because they possess the power to cause chaos and instability in the region. </w:t>
      </w:r>
      <w:r w:rsidR="00225669">
        <w:rPr>
          <w:rFonts w:cs="Arial"/>
        </w:rPr>
        <w:t xml:space="preserve">Efforts should be made to </w:t>
      </w:r>
      <w:r w:rsidR="00674714" w:rsidRPr="00225669">
        <w:rPr>
          <w:rFonts w:cs="Arial"/>
        </w:rPr>
        <w:t xml:space="preserve">reorient their interest and realign their power </w:t>
      </w:r>
      <w:r w:rsidR="00502086" w:rsidRPr="00225669">
        <w:rPr>
          <w:rFonts w:cs="Arial"/>
        </w:rPr>
        <w:t>towards security</w:t>
      </w:r>
      <w:r w:rsidR="00674714" w:rsidRPr="00225669">
        <w:rPr>
          <w:rFonts w:cs="Arial"/>
        </w:rPr>
        <w:t xml:space="preserve"> stabilisation and development of the region.</w:t>
      </w:r>
      <w:r w:rsidR="001C2142">
        <w:rPr>
          <w:rFonts w:cs="Arial"/>
        </w:rPr>
        <w:t xml:space="preserve"> This group includes state and local governments, political elite, regional development institutions, security stabilisation agencies, resistance and armed groups, criminal elements, and other </w:t>
      </w:r>
      <w:r w:rsidR="00A71550">
        <w:rPr>
          <w:rFonts w:cs="Arial"/>
        </w:rPr>
        <w:t>high-risk</w:t>
      </w:r>
      <w:r w:rsidR="001C2142">
        <w:rPr>
          <w:rFonts w:cs="Arial"/>
        </w:rPr>
        <w:t xml:space="preserve"> groups.</w:t>
      </w:r>
    </w:p>
    <w:p w14:paraId="2B88253F" w14:textId="77777777" w:rsidR="005A2C88" w:rsidRPr="00225669" w:rsidRDefault="005A2C88" w:rsidP="00137DFE">
      <w:pPr>
        <w:jc w:val="both"/>
        <w:rPr>
          <w:rFonts w:cs="Arial"/>
        </w:rPr>
      </w:pPr>
    </w:p>
    <w:p w14:paraId="2109A6D3" w14:textId="77777777" w:rsidR="00A32D8C" w:rsidRPr="00225669" w:rsidRDefault="002256A4" w:rsidP="004C4A79">
      <w:pPr>
        <w:pStyle w:val="Heading3"/>
      </w:pPr>
      <w:bookmarkStart w:id="44" w:name="_Toc311709513"/>
      <w:r w:rsidRPr="00225669">
        <w:t>Quadrant 3 (Q3): Low</w:t>
      </w:r>
      <w:r w:rsidR="00A32D8C" w:rsidRPr="00225669">
        <w:t xml:space="preserve"> Power, Low Interest</w:t>
      </w:r>
      <w:bookmarkEnd w:id="44"/>
    </w:p>
    <w:p w14:paraId="0A51A454" w14:textId="17DDF8B7" w:rsidR="008C6734" w:rsidRPr="00225669" w:rsidRDefault="00A32D8C" w:rsidP="00137DFE">
      <w:pPr>
        <w:jc w:val="both"/>
        <w:rPr>
          <w:rFonts w:cs="Arial"/>
        </w:rPr>
      </w:pPr>
      <w:r w:rsidRPr="00225669">
        <w:rPr>
          <w:rFonts w:cs="Arial"/>
        </w:rPr>
        <w:t>These are the least important stakeholders. They can neither cause chaos nor instability. For the purposes of this report, no stakeholders fall under this</w:t>
      </w:r>
      <w:r w:rsidR="00225669">
        <w:rPr>
          <w:rFonts w:cs="Arial"/>
        </w:rPr>
        <w:t xml:space="preserve"> quadrant</w:t>
      </w:r>
      <w:r w:rsidR="008C6734" w:rsidRPr="00225669">
        <w:rPr>
          <w:rFonts w:cs="Arial"/>
        </w:rPr>
        <w:t>. However considerable number of Nigerians outside the Niger De</w:t>
      </w:r>
      <w:r w:rsidR="00225669">
        <w:rPr>
          <w:rFonts w:cs="Arial"/>
        </w:rPr>
        <w:t xml:space="preserve">lta may fall into this quadrant. This would include those who are fighting for more resource allocation to their regions. The insurgency in the </w:t>
      </w:r>
      <w:r w:rsidR="008C6734" w:rsidRPr="00225669">
        <w:rPr>
          <w:rFonts w:cs="Arial"/>
        </w:rPr>
        <w:t xml:space="preserve">North East as well as the </w:t>
      </w:r>
      <w:r w:rsidR="00225669">
        <w:rPr>
          <w:rFonts w:cs="Arial"/>
        </w:rPr>
        <w:t xml:space="preserve">agitations for </w:t>
      </w:r>
      <w:r w:rsidR="008C6734" w:rsidRPr="00225669">
        <w:rPr>
          <w:rFonts w:cs="Arial"/>
        </w:rPr>
        <w:t xml:space="preserve">Biafra </w:t>
      </w:r>
      <w:r w:rsidR="00225669">
        <w:rPr>
          <w:rFonts w:cs="Arial"/>
        </w:rPr>
        <w:t>may reflect such phenomenon.</w:t>
      </w:r>
    </w:p>
    <w:p w14:paraId="7919DC6A" w14:textId="77777777" w:rsidR="008C6734" w:rsidRPr="00225669" w:rsidRDefault="008C6734" w:rsidP="00137DFE">
      <w:pPr>
        <w:jc w:val="both"/>
        <w:rPr>
          <w:rFonts w:cs="Arial"/>
        </w:rPr>
      </w:pPr>
    </w:p>
    <w:p w14:paraId="7029CDA9" w14:textId="10D098B3" w:rsidR="002256A4" w:rsidRPr="00225669" w:rsidRDefault="00595787" w:rsidP="004C4A79">
      <w:pPr>
        <w:pStyle w:val="Heading3"/>
      </w:pPr>
      <w:bookmarkStart w:id="45" w:name="_Toc311709514"/>
      <w:r>
        <w:t xml:space="preserve">Quadrant 4 </w:t>
      </w:r>
      <w:r w:rsidR="002256A4" w:rsidRPr="00225669">
        <w:t>(Q4): Low Power, High Interest</w:t>
      </w:r>
      <w:bookmarkEnd w:id="45"/>
    </w:p>
    <w:p w14:paraId="0EC3AFAE" w14:textId="11090658" w:rsidR="005A2C88" w:rsidRPr="00225669" w:rsidRDefault="002256A4" w:rsidP="00137DFE">
      <w:pPr>
        <w:jc w:val="both"/>
        <w:rPr>
          <w:rFonts w:cs="Arial"/>
        </w:rPr>
      </w:pPr>
      <w:r w:rsidRPr="00225669">
        <w:rPr>
          <w:rFonts w:cs="Arial"/>
        </w:rPr>
        <w:t>These stakeholders have low power and influence to cause chaos in the r</w:t>
      </w:r>
      <w:r w:rsidR="001C2142">
        <w:rPr>
          <w:rFonts w:cs="Arial"/>
        </w:rPr>
        <w:t xml:space="preserve">egion. Their interest </w:t>
      </w:r>
      <w:r w:rsidRPr="00225669">
        <w:rPr>
          <w:rFonts w:cs="Arial"/>
        </w:rPr>
        <w:t>lies in the stability and development of the Niger Delta. They are potential supporters and should be shown consideration and kept informed on interest areas. Their interests should be channelled through involvement in low risk areas.</w:t>
      </w:r>
      <w:r w:rsidR="001C2142">
        <w:rPr>
          <w:rFonts w:cs="Arial"/>
        </w:rPr>
        <w:t xml:space="preserve"> This group includes ordinary citizens civil society organisations, NNPC and Ministry of Petroleum Resources.</w:t>
      </w:r>
    </w:p>
    <w:p w14:paraId="04374D41" w14:textId="77777777" w:rsidR="00BE388B" w:rsidRPr="00225669" w:rsidRDefault="00BE388B" w:rsidP="00137DFE">
      <w:pPr>
        <w:jc w:val="both"/>
        <w:rPr>
          <w:rFonts w:cs="Arial"/>
          <w:sz w:val="22"/>
        </w:rPr>
      </w:pPr>
      <w:r w:rsidRPr="00225669">
        <w:rPr>
          <w:rFonts w:cs="Arial"/>
          <w:sz w:val="22"/>
        </w:rPr>
        <w:br w:type="page"/>
      </w:r>
    </w:p>
    <w:p w14:paraId="589B5C14" w14:textId="77777777" w:rsidR="007C7480" w:rsidRPr="00225669" w:rsidRDefault="004810F9" w:rsidP="00137DFE">
      <w:pPr>
        <w:pStyle w:val="Heading1"/>
      </w:pPr>
      <w:bookmarkStart w:id="46" w:name="_Toc311709515"/>
      <w:r w:rsidRPr="00225669">
        <w:t>Recommendations and Conclusion</w:t>
      </w:r>
      <w:bookmarkEnd w:id="46"/>
    </w:p>
    <w:p w14:paraId="5B283E36" w14:textId="77777777" w:rsidR="005F06ED" w:rsidRPr="00225669" w:rsidRDefault="004810F9" w:rsidP="00137DFE">
      <w:pPr>
        <w:pStyle w:val="Heading2"/>
        <w:rPr>
          <w:rFonts w:ascii="Arial" w:hAnsi="Arial" w:cs="Arial"/>
        </w:rPr>
      </w:pPr>
      <w:bookmarkStart w:id="47" w:name="_Toc311709516"/>
      <w:r w:rsidRPr="00225669">
        <w:rPr>
          <w:rFonts w:ascii="Arial" w:hAnsi="Arial" w:cs="Arial"/>
        </w:rPr>
        <w:t>Recommendations</w:t>
      </w:r>
      <w:bookmarkEnd w:id="47"/>
    </w:p>
    <w:p w14:paraId="31E77A61" w14:textId="50E3BED6" w:rsidR="005F06ED" w:rsidRPr="00225669" w:rsidRDefault="00743A17" w:rsidP="00137DFE">
      <w:pPr>
        <w:pStyle w:val="ListParagraph"/>
        <w:numPr>
          <w:ilvl w:val="0"/>
          <w:numId w:val="0"/>
        </w:numPr>
        <w:jc w:val="both"/>
        <w:rPr>
          <w:rFonts w:cs="Arial"/>
        </w:rPr>
      </w:pPr>
      <w:r w:rsidRPr="00225669">
        <w:rPr>
          <w:rFonts w:cs="Arial"/>
        </w:rPr>
        <w:t>The government should consider implementing the strategies outlined below to ensure stability and development of the Niger Delta region. These recommendations include but are not limited to</w:t>
      </w:r>
      <w:r w:rsidR="00911BE4">
        <w:rPr>
          <w:rFonts w:cs="Arial"/>
        </w:rPr>
        <w:t xml:space="preserve"> security stabilisation, comprehensive regional development, and accountability mechanisms.</w:t>
      </w:r>
    </w:p>
    <w:p w14:paraId="184EB023" w14:textId="77777777" w:rsidR="00743A17" w:rsidRPr="00225669" w:rsidRDefault="00743A17" w:rsidP="00137DFE">
      <w:pPr>
        <w:pStyle w:val="ListParagraph"/>
        <w:numPr>
          <w:ilvl w:val="0"/>
          <w:numId w:val="0"/>
        </w:numPr>
        <w:jc w:val="both"/>
        <w:rPr>
          <w:rFonts w:cs="Arial"/>
        </w:rPr>
      </w:pPr>
    </w:p>
    <w:p w14:paraId="1DC7DA7A" w14:textId="77777777" w:rsidR="007C7480" w:rsidRPr="00225669" w:rsidRDefault="007C7480" w:rsidP="00137DFE">
      <w:pPr>
        <w:pStyle w:val="PolicyBrief2"/>
      </w:pPr>
      <w:r w:rsidRPr="00225669">
        <w:t>Security Stabilisation</w:t>
      </w:r>
    </w:p>
    <w:p w14:paraId="171530CC" w14:textId="77777777" w:rsidR="007C7480" w:rsidRPr="00225669" w:rsidRDefault="007C7480" w:rsidP="00AF131C">
      <w:pPr>
        <w:pStyle w:val="PolicyBrief1"/>
        <w:numPr>
          <w:ilvl w:val="0"/>
          <w:numId w:val="11"/>
        </w:numPr>
        <w:rPr>
          <w:b/>
        </w:rPr>
      </w:pPr>
      <w:r w:rsidRPr="00225669">
        <w:t>Effectively transition and complete the Presidential Amnesty Programme</w:t>
      </w:r>
    </w:p>
    <w:p w14:paraId="22FDB79C" w14:textId="77777777" w:rsidR="007C7480" w:rsidRDefault="007C7480" w:rsidP="00AF131C">
      <w:pPr>
        <w:pStyle w:val="PolicyBrief1"/>
        <w:numPr>
          <w:ilvl w:val="0"/>
          <w:numId w:val="11"/>
        </w:numPr>
      </w:pPr>
      <w:r w:rsidRPr="00225669">
        <w:t>Enhance security and intelligence gathering to forestall renewed militancy</w:t>
      </w:r>
    </w:p>
    <w:p w14:paraId="2162DDCA" w14:textId="77777777" w:rsidR="00911BE4" w:rsidRPr="00225669" w:rsidRDefault="00911BE4" w:rsidP="00911BE4">
      <w:pPr>
        <w:pStyle w:val="PolicyBrief1"/>
      </w:pPr>
    </w:p>
    <w:p w14:paraId="7A79A9AB" w14:textId="77777777" w:rsidR="007C7480" w:rsidRPr="00225669" w:rsidRDefault="007C7480" w:rsidP="00137DFE">
      <w:pPr>
        <w:pStyle w:val="PolicyBrief2"/>
      </w:pPr>
      <w:r w:rsidRPr="00225669">
        <w:t>Comprehensive Regional Development</w:t>
      </w:r>
    </w:p>
    <w:p w14:paraId="01440089" w14:textId="77777777" w:rsidR="006138B5" w:rsidRPr="00225669" w:rsidRDefault="006138B5" w:rsidP="006138B5">
      <w:pPr>
        <w:pStyle w:val="PolicyBrief1"/>
        <w:numPr>
          <w:ilvl w:val="0"/>
          <w:numId w:val="12"/>
        </w:numPr>
        <w:rPr>
          <w:b/>
        </w:rPr>
      </w:pPr>
      <w:r w:rsidRPr="00225669">
        <w:t>Establish a representative stakeholder working group to articulate and communicate key regional development and security issues and concerns with the government</w:t>
      </w:r>
    </w:p>
    <w:p w14:paraId="28D53E2B" w14:textId="77777777" w:rsidR="006138B5" w:rsidRPr="00911BE4" w:rsidRDefault="006138B5" w:rsidP="006138B5">
      <w:pPr>
        <w:pStyle w:val="PolicyBrief1"/>
        <w:numPr>
          <w:ilvl w:val="0"/>
          <w:numId w:val="12"/>
        </w:numPr>
        <w:rPr>
          <w:b/>
        </w:rPr>
      </w:pPr>
      <w:r w:rsidRPr="00225669">
        <w:t>Provide irrevocable commitment to development that can be independently verified</w:t>
      </w:r>
    </w:p>
    <w:p w14:paraId="286F08B2" w14:textId="4015E24A" w:rsidR="007C7480" w:rsidRPr="00225669" w:rsidRDefault="007C7480" w:rsidP="00AF131C">
      <w:pPr>
        <w:pStyle w:val="PolicyBrief1"/>
        <w:numPr>
          <w:ilvl w:val="0"/>
          <w:numId w:val="12"/>
        </w:numPr>
        <w:rPr>
          <w:b/>
        </w:rPr>
      </w:pPr>
      <w:r w:rsidRPr="00225669">
        <w:t>Sign a Development Compact that outlines in detail the commitments of both the government and the region</w:t>
      </w:r>
      <w:r w:rsidR="006138B5">
        <w:t xml:space="preserve"> to a fundamental development of the Niger Delta region</w:t>
      </w:r>
    </w:p>
    <w:p w14:paraId="68E354E3" w14:textId="77777777" w:rsidR="00911BE4" w:rsidRPr="00225669" w:rsidRDefault="00911BE4" w:rsidP="00911BE4">
      <w:pPr>
        <w:pStyle w:val="PolicyBrief1"/>
        <w:rPr>
          <w:b/>
        </w:rPr>
      </w:pPr>
    </w:p>
    <w:p w14:paraId="38544759" w14:textId="77777777" w:rsidR="007C7480" w:rsidRPr="00225669" w:rsidRDefault="007C7480" w:rsidP="00137DFE">
      <w:pPr>
        <w:pStyle w:val="PolicyBrief2"/>
      </w:pPr>
      <w:r w:rsidRPr="00225669">
        <w:t>Accountability Mechanisms</w:t>
      </w:r>
    </w:p>
    <w:p w14:paraId="1441E811" w14:textId="77777777" w:rsidR="007C7480" w:rsidRPr="00225669" w:rsidRDefault="007C7480" w:rsidP="00AF131C">
      <w:pPr>
        <w:pStyle w:val="PolicyBrief1"/>
        <w:numPr>
          <w:ilvl w:val="0"/>
          <w:numId w:val="13"/>
        </w:numPr>
        <w:rPr>
          <w:b/>
        </w:rPr>
      </w:pPr>
      <w:r w:rsidRPr="00225669">
        <w:t>Rationalise institutional mechanisms (MNDA, NDDC, etc.) for delivering development in the region and make them accountable to the people</w:t>
      </w:r>
    </w:p>
    <w:p w14:paraId="3F7099A2" w14:textId="47EE5ACE" w:rsidR="007C7480" w:rsidRPr="00225669" w:rsidRDefault="007C7480" w:rsidP="00AF131C">
      <w:pPr>
        <w:pStyle w:val="PolicyBrief1"/>
        <w:numPr>
          <w:ilvl w:val="0"/>
          <w:numId w:val="13"/>
        </w:numPr>
        <w:rPr>
          <w:b/>
        </w:rPr>
      </w:pPr>
      <w:r w:rsidRPr="00225669">
        <w:t xml:space="preserve">Set up a multi-stakeholder </w:t>
      </w:r>
      <w:r w:rsidR="00E75258">
        <w:t xml:space="preserve">trust </w:t>
      </w:r>
      <w:r w:rsidRPr="00225669">
        <w:t>fund management and programme implementation structure</w:t>
      </w:r>
    </w:p>
    <w:p w14:paraId="5DC2C44D" w14:textId="77777777" w:rsidR="007C7480" w:rsidRPr="00225669" w:rsidRDefault="007C7480" w:rsidP="00AF131C">
      <w:pPr>
        <w:pStyle w:val="PolicyBrief1"/>
        <w:numPr>
          <w:ilvl w:val="0"/>
          <w:numId w:val="13"/>
        </w:numPr>
        <w:rPr>
          <w:b/>
        </w:rPr>
      </w:pPr>
      <w:r w:rsidRPr="00225669">
        <w:t>Develop community-sensitive accountability process</w:t>
      </w:r>
    </w:p>
    <w:p w14:paraId="13F19FC2" w14:textId="3C0E6021" w:rsidR="007C7480" w:rsidRPr="00225669" w:rsidRDefault="00E75258" w:rsidP="00AF131C">
      <w:pPr>
        <w:pStyle w:val="PolicyBrief1"/>
        <w:numPr>
          <w:ilvl w:val="0"/>
          <w:numId w:val="13"/>
        </w:numPr>
        <w:rPr>
          <w:b/>
        </w:rPr>
      </w:pPr>
      <w:r>
        <w:t>Demand c</w:t>
      </w:r>
      <w:r w:rsidR="007C7480" w:rsidRPr="00225669">
        <w:t xml:space="preserve">orporate </w:t>
      </w:r>
      <w:r>
        <w:t>s</w:t>
      </w:r>
      <w:r w:rsidR="007C7480" w:rsidRPr="00225669">
        <w:t xml:space="preserve">ocial </w:t>
      </w:r>
      <w:r>
        <w:t>r</w:t>
      </w:r>
      <w:r w:rsidR="007C7480" w:rsidRPr="00225669">
        <w:t>esponsibility (CSR) from the petroleum sector</w:t>
      </w:r>
    </w:p>
    <w:p w14:paraId="378A8A87" w14:textId="77777777" w:rsidR="007C7480" w:rsidRPr="00225669" w:rsidRDefault="007C7480" w:rsidP="00AF131C">
      <w:pPr>
        <w:pStyle w:val="PolicyBrief1"/>
        <w:numPr>
          <w:ilvl w:val="0"/>
          <w:numId w:val="13"/>
        </w:numPr>
        <w:rPr>
          <w:b/>
        </w:rPr>
      </w:pPr>
      <w:r w:rsidRPr="00225669">
        <w:t>Draw development expertise from the oil and gas sector through private-public sector partnership framework</w:t>
      </w:r>
    </w:p>
    <w:p w14:paraId="58F12798" w14:textId="77777777" w:rsidR="005B09D8" w:rsidRPr="00225669" w:rsidRDefault="005B09D8" w:rsidP="00137DFE">
      <w:pPr>
        <w:jc w:val="both"/>
        <w:rPr>
          <w:rFonts w:cs="Arial"/>
          <w:sz w:val="22"/>
        </w:rPr>
      </w:pPr>
    </w:p>
    <w:p w14:paraId="3688E828" w14:textId="77777777" w:rsidR="005F06ED" w:rsidRPr="00225669" w:rsidRDefault="004810F9" w:rsidP="00137DFE">
      <w:pPr>
        <w:pStyle w:val="Heading2"/>
        <w:rPr>
          <w:rFonts w:ascii="Arial" w:hAnsi="Arial" w:cs="Arial"/>
        </w:rPr>
      </w:pPr>
      <w:bookmarkStart w:id="48" w:name="_Toc311709517"/>
      <w:r w:rsidRPr="00225669">
        <w:rPr>
          <w:rFonts w:ascii="Arial" w:hAnsi="Arial" w:cs="Arial"/>
        </w:rPr>
        <w:t>Conclusion</w:t>
      </w:r>
      <w:bookmarkEnd w:id="48"/>
    </w:p>
    <w:p w14:paraId="3D3F1CA0" w14:textId="77777777" w:rsidR="00282643" w:rsidRPr="002C0350" w:rsidRDefault="00282643" w:rsidP="00E53EA1">
      <w:pPr>
        <w:pStyle w:val="Highlight"/>
      </w:pPr>
      <w:r w:rsidRPr="002C0350">
        <w:t>Governance challenge, and not the quantum of funds, is the bane of development of the Niger Delta region.</w:t>
      </w:r>
    </w:p>
    <w:p w14:paraId="3939F4A7" w14:textId="77777777" w:rsidR="00282643" w:rsidRPr="002C0350" w:rsidRDefault="00282643" w:rsidP="00E53EA1">
      <w:pPr>
        <w:pStyle w:val="Highlight"/>
      </w:pPr>
    </w:p>
    <w:p w14:paraId="7F6B6BED" w14:textId="77777777" w:rsidR="00626C1B" w:rsidRPr="002C0350" w:rsidRDefault="00626C1B" w:rsidP="00E53EA1">
      <w:pPr>
        <w:pStyle w:val="Highlight"/>
      </w:pPr>
      <w:r w:rsidRPr="002C0350">
        <w:t>Except for criminal elements in the Niger Delta region and individuals who profit politically or financially from instability of the region, most stakeholders in the region will support programmes for lasting stability.</w:t>
      </w:r>
    </w:p>
    <w:p w14:paraId="57186B51" w14:textId="77777777" w:rsidR="00626C1B" w:rsidRPr="002C0350" w:rsidRDefault="00626C1B" w:rsidP="00E53EA1">
      <w:pPr>
        <w:pStyle w:val="Highlight"/>
      </w:pPr>
    </w:p>
    <w:p w14:paraId="5ED9E4F4" w14:textId="6BFB89D0" w:rsidR="00282643" w:rsidRPr="002C0350" w:rsidRDefault="00282643" w:rsidP="00E53EA1">
      <w:pPr>
        <w:pStyle w:val="Highlight"/>
      </w:pPr>
      <w:r w:rsidRPr="002C0350">
        <w:t>The Federal Government of Nigeria should consider implementing the strategies outlined above to ensure stability and development in the region.</w:t>
      </w:r>
    </w:p>
    <w:p w14:paraId="68315F5F" w14:textId="77777777" w:rsidR="00282643" w:rsidRPr="00225669" w:rsidRDefault="005B09D8" w:rsidP="00137DFE">
      <w:pPr>
        <w:jc w:val="both"/>
        <w:rPr>
          <w:rFonts w:cs="Arial"/>
        </w:rPr>
      </w:pPr>
      <w:r w:rsidRPr="00225669">
        <w:rPr>
          <w:rFonts w:cs="Arial"/>
        </w:rPr>
        <w:br w:type="page"/>
      </w:r>
    </w:p>
    <w:p w14:paraId="4924AD95" w14:textId="49F16F21" w:rsidR="005B09D8" w:rsidRPr="00225669" w:rsidRDefault="005B09D8" w:rsidP="00137DFE">
      <w:pPr>
        <w:pStyle w:val="Heading1"/>
      </w:pPr>
      <w:bookmarkStart w:id="49" w:name="_Toc311709518"/>
      <w:r w:rsidRPr="00225669">
        <w:t>Annexes</w:t>
      </w:r>
      <w:bookmarkEnd w:id="49"/>
    </w:p>
    <w:p w14:paraId="1F240074" w14:textId="77777777" w:rsidR="009E259A" w:rsidRDefault="009E259A" w:rsidP="00EB2031">
      <w:pPr>
        <w:pStyle w:val="TableList"/>
      </w:pPr>
      <w:bookmarkStart w:id="50" w:name="_Toc311707939"/>
      <w:r w:rsidRPr="000E7A15">
        <w:t>Funds Allocation to Ministry of Niger Delta Affairs</w:t>
      </w:r>
      <w:bookmarkEnd w:id="50"/>
    </w:p>
    <w:p w14:paraId="1323CCF0" w14:textId="77777777" w:rsidR="00D50633" w:rsidRDefault="00D50633" w:rsidP="00EB2031">
      <w:pPr>
        <w:pStyle w:val="TableList"/>
        <w:numPr>
          <w:ilvl w:val="0"/>
          <w:numId w:val="0"/>
        </w:numPr>
        <w:ind w:left="360"/>
      </w:pPr>
    </w:p>
    <w:tbl>
      <w:tblPr>
        <w:tblStyle w:val="TableGrid"/>
        <w:tblW w:w="5000" w:type="pct"/>
        <w:tblLook w:val="04A0" w:firstRow="1" w:lastRow="0" w:firstColumn="1" w:lastColumn="0" w:noHBand="0" w:noVBand="1"/>
      </w:tblPr>
      <w:tblGrid>
        <w:gridCol w:w="1546"/>
        <w:gridCol w:w="1546"/>
        <w:gridCol w:w="1548"/>
        <w:gridCol w:w="1548"/>
        <w:gridCol w:w="1548"/>
        <w:gridCol w:w="1544"/>
      </w:tblGrid>
      <w:tr w:rsidR="00D50633" w:rsidRPr="00EB2031" w14:paraId="3444B83B" w14:textId="77777777" w:rsidTr="00EB2031">
        <w:tc>
          <w:tcPr>
            <w:tcW w:w="833" w:type="pct"/>
          </w:tcPr>
          <w:p w14:paraId="313E9036" w14:textId="7DFDB36F" w:rsidR="00D50633" w:rsidRPr="00EB2031" w:rsidRDefault="00D50633" w:rsidP="00EB2031">
            <w:pPr>
              <w:pStyle w:val="NormalWeb"/>
              <w:spacing w:before="2" w:after="2"/>
              <w:rPr>
                <w:rFonts w:ascii="Arial" w:hAnsi="Arial" w:cs="Arial"/>
              </w:rPr>
            </w:pPr>
            <w:r w:rsidRPr="00EB2031">
              <w:rPr>
                <w:rFonts w:ascii="Arial" w:hAnsi="Arial" w:cs="Arial"/>
              </w:rPr>
              <w:t>Year</w:t>
            </w:r>
          </w:p>
        </w:tc>
        <w:tc>
          <w:tcPr>
            <w:tcW w:w="833" w:type="pct"/>
          </w:tcPr>
          <w:p w14:paraId="482F2A4E" w14:textId="08D9B2F9" w:rsidR="00D50633" w:rsidRPr="00EB2031" w:rsidRDefault="00D50633" w:rsidP="00EB2031">
            <w:pPr>
              <w:pStyle w:val="NormalWeb"/>
              <w:spacing w:before="2" w:after="2"/>
              <w:jc w:val="center"/>
              <w:rPr>
                <w:rFonts w:ascii="Arial" w:hAnsi="Arial" w:cs="Arial"/>
              </w:rPr>
            </w:pPr>
            <w:r w:rsidRPr="00EB2031">
              <w:rPr>
                <w:rFonts w:ascii="Arial" w:hAnsi="Arial" w:cs="Arial"/>
              </w:rPr>
              <w:t>Total Recurrent (N’million)</w:t>
            </w:r>
          </w:p>
        </w:tc>
        <w:tc>
          <w:tcPr>
            <w:tcW w:w="834" w:type="pct"/>
          </w:tcPr>
          <w:p w14:paraId="5476BF23" w14:textId="22B3A17F" w:rsidR="00D50633" w:rsidRPr="00EB2031" w:rsidRDefault="00D50633" w:rsidP="00EB2031">
            <w:pPr>
              <w:pStyle w:val="NormalWeb"/>
              <w:spacing w:before="2" w:after="2"/>
              <w:jc w:val="center"/>
              <w:rPr>
                <w:rFonts w:ascii="Arial" w:hAnsi="Arial" w:cs="Arial"/>
              </w:rPr>
            </w:pPr>
            <w:r w:rsidRPr="00EB2031">
              <w:rPr>
                <w:rFonts w:ascii="Arial" w:hAnsi="Arial" w:cs="Arial"/>
              </w:rPr>
              <w:t>Total Capital (N'million)</w:t>
            </w:r>
          </w:p>
        </w:tc>
        <w:tc>
          <w:tcPr>
            <w:tcW w:w="834" w:type="pct"/>
          </w:tcPr>
          <w:p w14:paraId="6A8F8285" w14:textId="604750F6" w:rsidR="00D50633" w:rsidRPr="00EB2031" w:rsidRDefault="00D50633" w:rsidP="00EB2031">
            <w:pPr>
              <w:pStyle w:val="NormalWeb"/>
              <w:spacing w:before="2" w:after="2"/>
              <w:jc w:val="center"/>
              <w:rPr>
                <w:rFonts w:ascii="Arial" w:hAnsi="Arial" w:cs="Arial"/>
              </w:rPr>
            </w:pPr>
            <w:r w:rsidRPr="00EB2031">
              <w:rPr>
                <w:rFonts w:ascii="Arial" w:hAnsi="Arial" w:cs="Arial"/>
              </w:rPr>
              <w:t>TOTAL (N'million)</w:t>
            </w:r>
          </w:p>
        </w:tc>
        <w:tc>
          <w:tcPr>
            <w:tcW w:w="834" w:type="pct"/>
          </w:tcPr>
          <w:p w14:paraId="3B330C45" w14:textId="77777777" w:rsidR="00D50633" w:rsidRPr="00EB2031" w:rsidRDefault="00D50633" w:rsidP="00EB2031">
            <w:pPr>
              <w:pStyle w:val="NormalWeb"/>
              <w:spacing w:before="2" w:after="2"/>
              <w:jc w:val="center"/>
              <w:rPr>
                <w:rFonts w:ascii="Arial" w:hAnsi="Arial" w:cs="Arial"/>
              </w:rPr>
            </w:pPr>
            <w:r w:rsidRPr="00EB2031">
              <w:rPr>
                <w:rFonts w:ascii="Arial" w:hAnsi="Arial" w:cs="Arial"/>
              </w:rPr>
              <w:t>SURE-P</w:t>
            </w:r>
          </w:p>
          <w:p w14:paraId="1E8F1C3C" w14:textId="335A17C4" w:rsidR="00EB2031" w:rsidRPr="00EB2031" w:rsidRDefault="00EB2031" w:rsidP="00EB2031">
            <w:pPr>
              <w:pStyle w:val="NormalWeb"/>
              <w:spacing w:before="2" w:after="2"/>
              <w:jc w:val="center"/>
              <w:rPr>
                <w:rFonts w:ascii="Arial" w:hAnsi="Arial" w:cs="Arial"/>
              </w:rPr>
            </w:pPr>
            <w:r w:rsidRPr="00EB2031">
              <w:rPr>
                <w:rFonts w:ascii="Arial" w:hAnsi="Arial" w:cs="Arial"/>
              </w:rPr>
              <w:t>(N’million)</w:t>
            </w:r>
          </w:p>
        </w:tc>
        <w:tc>
          <w:tcPr>
            <w:tcW w:w="834" w:type="pct"/>
          </w:tcPr>
          <w:p w14:paraId="733ADD32" w14:textId="47692A81" w:rsidR="00D50633" w:rsidRPr="00EB2031" w:rsidRDefault="00EB2031" w:rsidP="00EB2031">
            <w:pPr>
              <w:pStyle w:val="NormalWeb"/>
              <w:spacing w:before="2" w:after="2"/>
              <w:jc w:val="center"/>
              <w:rPr>
                <w:rFonts w:ascii="Arial" w:hAnsi="Arial" w:cs="Arial"/>
              </w:rPr>
            </w:pPr>
            <w:r w:rsidRPr="00EB2031">
              <w:rPr>
                <w:rFonts w:ascii="Arial" w:hAnsi="Arial" w:cs="Arial"/>
              </w:rPr>
              <w:t>Estimated Inflow (N’million)</w:t>
            </w:r>
          </w:p>
        </w:tc>
      </w:tr>
      <w:tr w:rsidR="00D50633" w:rsidRPr="00EB2031" w14:paraId="5AD0D7CE" w14:textId="77777777" w:rsidTr="00EB2031">
        <w:tc>
          <w:tcPr>
            <w:tcW w:w="833" w:type="pct"/>
          </w:tcPr>
          <w:p w14:paraId="4B5C8D05" w14:textId="595386AD" w:rsidR="00D50633" w:rsidRPr="00EB2031" w:rsidRDefault="00D50633" w:rsidP="00EB2031">
            <w:pPr>
              <w:pStyle w:val="NormalWeb"/>
              <w:spacing w:before="2" w:after="2"/>
              <w:rPr>
                <w:rFonts w:ascii="Arial" w:hAnsi="Arial" w:cs="Arial"/>
              </w:rPr>
            </w:pPr>
            <w:r w:rsidRPr="00EB2031">
              <w:rPr>
                <w:rFonts w:ascii="Arial" w:hAnsi="Arial" w:cs="Arial"/>
              </w:rPr>
              <w:t>2010</w:t>
            </w:r>
          </w:p>
        </w:tc>
        <w:tc>
          <w:tcPr>
            <w:tcW w:w="833" w:type="pct"/>
          </w:tcPr>
          <w:p w14:paraId="389ACDA3" w14:textId="7462756F" w:rsidR="00D50633" w:rsidRPr="00EB2031" w:rsidRDefault="00D50633" w:rsidP="00EB2031">
            <w:pPr>
              <w:pStyle w:val="NormalWeb"/>
              <w:spacing w:before="2" w:after="2"/>
              <w:jc w:val="center"/>
              <w:rPr>
                <w:rFonts w:ascii="Arial" w:hAnsi="Arial" w:cs="Arial"/>
              </w:rPr>
            </w:pPr>
            <w:r w:rsidRPr="00EB2031">
              <w:rPr>
                <w:rFonts w:ascii="Arial" w:hAnsi="Arial" w:cs="Arial"/>
              </w:rPr>
              <w:t>3,131</w:t>
            </w:r>
          </w:p>
        </w:tc>
        <w:tc>
          <w:tcPr>
            <w:tcW w:w="834" w:type="pct"/>
          </w:tcPr>
          <w:p w14:paraId="25CFB15F" w14:textId="00401452" w:rsidR="00D50633" w:rsidRPr="00EB2031" w:rsidRDefault="00D50633" w:rsidP="00EB2031">
            <w:pPr>
              <w:pStyle w:val="NormalWeb"/>
              <w:spacing w:before="2" w:after="2"/>
              <w:jc w:val="center"/>
              <w:rPr>
                <w:rFonts w:ascii="Arial" w:hAnsi="Arial" w:cs="Arial"/>
              </w:rPr>
            </w:pPr>
            <w:r w:rsidRPr="00EB2031">
              <w:rPr>
                <w:rFonts w:ascii="Arial" w:hAnsi="Arial" w:cs="Arial"/>
              </w:rPr>
              <w:t>61,289</w:t>
            </w:r>
          </w:p>
        </w:tc>
        <w:tc>
          <w:tcPr>
            <w:tcW w:w="834" w:type="pct"/>
          </w:tcPr>
          <w:p w14:paraId="2BD4441B" w14:textId="35583DF8" w:rsidR="00D50633" w:rsidRPr="00EB2031" w:rsidRDefault="00D50633" w:rsidP="00EB2031">
            <w:pPr>
              <w:pStyle w:val="NormalWeb"/>
              <w:spacing w:before="2" w:after="2"/>
              <w:jc w:val="center"/>
              <w:rPr>
                <w:rFonts w:ascii="Arial" w:hAnsi="Arial" w:cs="Arial"/>
              </w:rPr>
            </w:pPr>
            <w:r w:rsidRPr="00EB2031">
              <w:rPr>
                <w:rFonts w:ascii="Arial" w:hAnsi="Arial" w:cs="Arial"/>
              </w:rPr>
              <w:t>64,419</w:t>
            </w:r>
          </w:p>
        </w:tc>
        <w:tc>
          <w:tcPr>
            <w:tcW w:w="834" w:type="pct"/>
          </w:tcPr>
          <w:p w14:paraId="09459B4D" w14:textId="154E2512" w:rsidR="00D50633" w:rsidRPr="00EB2031" w:rsidRDefault="00D50633" w:rsidP="00EB2031">
            <w:pPr>
              <w:pStyle w:val="NormalWeb"/>
              <w:spacing w:before="2" w:after="2"/>
              <w:jc w:val="center"/>
              <w:rPr>
                <w:rFonts w:ascii="Arial" w:hAnsi="Arial" w:cs="Arial"/>
              </w:rPr>
            </w:pPr>
            <w:r w:rsidRPr="00EB2031">
              <w:rPr>
                <w:rFonts w:ascii="Arial" w:hAnsi="Arial" w:cs="Arial"/>
              </w:rPr>
              <w:t>-</w:t>
            </w:r>
          </w:p>
        </w:tc>
        <w:tc>
          <w:tcPr>
            <w:tcW w:w="834" w:type="pct"/>
          </w:tcPr>
          <w:p w14:paraId="4E638421" w14:textId="71F0DA75" w:rsidR="00D50633" w:rsidRPr="00EB2031" w:rsidRDefault="00D50633" w:rsidP="00EB2031">
            <w:pPr>
              <w:pStyle w:val="NormalWeb"/>
              <w:spacing w:before="2" w:after="2"/>
              <w:jc w:val="center"/>
              <w:rPr>
                <w:rFonts w:ascii="Arial" w:hAnsi="Arial" w:cs="Arial"/>
              </w:rPr>
            </w:pPr>
            <w:r w:rsidRPr="00EB2031">
              <w:rPr>
                <w:rFonts w:ascii="Arial" w:hAnsi="Arial" w:cs="Arial"/>
              </w:rPr>
              <w:t>64,419</w:t>
            </w:r>
          </w:p>
        </w:tc>
      </w:tr>
      <w:tr w:rsidR="00D50633" w:rsidRPr="00EB2031" w14:paraId="69DA7D43" w14:textId="77777777" w:rsidTr="00EB2031">
        <w:tc>
          <w:tcPr>
            <w:tcW w:w="833" w:type="pct"/>
          </w:tcPr>
          <w:p w14:paraId="18F3D04E" w14:textId="3FF9C02D" w:rsidR="00D50633" w:rsidRPr="00EB2031" w:rsidRDefault="00D50633" w:rsidP="00EB2031">
            <w:pPr>
              <w:pStyle w:val="NormalWeb"/>
              <w:spacing w:before="2" w:after="2"/>
              <w:rPr>
                <w:rFonts w:ascii="Arial" w:hAnsi="Arial" w:cs="Arial"/>
              </w:rPr>
            </w:pPr>
            <w:r w:rsidRPr="00EB2031">
              <w:rPr>
                <w:rFonts w:ascii="Arial" w:hAnsi="Arial" w:cs="Arial"/>
              </w:rPr>
              <w:t>2011</w:t>
            </w:r>
          </w:p>
        </w:tc>
        <w:tc>
          <w:tcPr>
            <w:tcW w:w="833" w:type="pct"/>
          </w:tcPr>
          <w:p w14:paraId="5C8B0B56" w14:textId="6B4E59FC" w:rsidR="00D50633" w:rsidRPr="00EB2031" w:rsidRDefault="00D50633" w:rsidP="00EB2031">
            <w:pPr>
              <w:pStyle w:val="NormalWeb"/>
              <w:spacing w:before="2" w:after="2"/>
              <w:jc w:val="center"/>
              <w:rPr>
                <w:rFonts w:ascii="Arial" w:hAnsi="Arial" w:cs="Arial"/>
              </w:rPr>
            </w:pPr>
            <w:r w:rsidRPr="00EB2031">
              <w:rPr>
                <w:rFonts w:ascii="Arial" w:hAnsi="Arial" w:cs="Arial"/>
              </w:rPr>
              <w:t>3,230</w:t>
            </w:r>
          </w:p>
        </w:tc>
        <w:tc>
          <w:tcPr>
            <w:tcW w:w="834" w:type="pct"/>
          </w:tcPr>
          <w:p w14:paraId="5D3EDBA0" w14:textId="37DEF802" w:rsidR="00D50633" w:rsidRPr="00EB2031" w:rsidRDefault="00D50633" w:rsidP="00EB2031">
            <w:pPr>
              <w:pStyle w:val="NormalWeb"/>
              <w:spacing w:before="2" w:after="2"/>
              <w:jc w:val="center"/>
              <w:rPr>
                <w:rFonts w:ascii="Arial" w:hAnsi="Arial" w:cs="Arial"/>
              </w:rPr>
            </w:pPr>
            <w:r w:rsidRPr="00EB2031">
              <w:rPr>
                <w:rFonts w:ascii="Arial" w:hAnsi="Arial" w:cs="Arial"/>
              </w:rPr>
              <w:t>53,400</w:t>
            </w:r>
          </w:p>
        </w:tc>
        <w:tc>
          <w:tcPr>
            <w:tcW w:w="834" w:type="pct"/>
          </w:tcPr>
          <w:p w14:paraId="4F7C6CDB" w14:textId="7FDD2815" w:rsidR="00D50633" w:rsidRPr="00EB2031" w:rsidRDefault="00D50633" w:rsidP="00EB2031">
            <w:pPr>
              <w:pStyle w:val="NormalWeb"/>
              <w:spacing w:before="2" w:after="2"/>
              <w:jc w:val="center"/>
              <w:rPr>
                <w:rFonts w:ascii="Arial" w:hAnsi="Arial" w:cs="Arial"/>
              </w:rPr>
            </w:pPr>
            <w:r w:rsidRPr="00EB2031">
              <w:rPr>
                <w:rFonts w:ascii="Arial" w:hAnsi="Arial" w:cs="Arial"/>
              </w:rPr>
              <w:t>56,630</w:t>
            </w:r>
          </w:p>
        </w:tc>
        <w:tc>
          <w:tcPr>
            <w:tcW w:w="834" w:type="pct"/>
          </w:tcPr>
          <w:p w14:paraId="7368DE54" w14:textId="6257B925" w:rsidR="00D50633" w:rsidRPr="00EB2031" w:rsidRDefault="00D50633" w:rsidP="00EB2031">
            <w:pPr>
              <w:pStyle w:val="NormalWeb"/>
              <w:spacing w:before="2" w:after="2"/>
              <w:jc w:val="center"/>
              <w:rPr>
                <w:rFonts w:ascii="Arial" w:hAnsi="Arial" w:cs="Arial"/>
              </w:rPr>
            </w:pPr>
            <w:r w:rsidRPr="00EB2031">
              <w:rPr>
                <w:rFonts w:ascii="Arial" w:hAnsi="Arial" w:cs="Arial"/>
              </w:rPr>
              <w:t>-</w:t>
            </w:r>
          </w:p>
        </w:tc>
        <w:tc>
          <w:tcPr>
            <w:tcW w:w="834" w:type="pct"/>
          </w:tcPr>
          <w:p w14:paraId="19263561" w14:textId="5A66A2AC" w:rsidR="00D50633" w:rsidRPr="00EB2031" w:rsidRDefault="00D50633" w:rsidP="00EB2031">
            <w:pPr>
              <w:pStyle w:val="NormalWeb"/>
              <w:spacing w:before="2" w:after="2"/>
              <w:jc w:val="center"/>
              <w:rPr>
                <w:rFonts w:ascii="Arial" w:hAnsi="Arial" w:cs="Arial"/>
              </w:rPr>
            </w:pPr>
            <w:r w:rsidRPr="00EB2031">
              <w:rPr>
                <w:rFonts w:ascii="Arial" w:hAnsi="Arial" w:cs="Arial"/>
              </w:rPr>
              <w:t>56,630</w:t>
            </w:r>
          </w:p>
        </w:tc>
      </w:tr>
      <w:tr w:rsidR="00D50633" w:rsidRPr="00EB2031" w14:paraId="646AC03F" w14:textId="77777777" w:rsidTr="00EB2031">
        <w:tc>
          <w:tcPr>
            <w:tcW w:w="833" w:type="pct"/>
          </w:tcPr>
          <w:p w14:paraId="7E0467ED" w14:textId="2E7B7F58" w:rsidR="00D50633" w:rsidRPr="00EB2031" w:rsidRDefault="00D50633" w:rsidP="00EB2031">
            <w:pPr>
              <w:pStyle w:val="NormalWeb"/>
              <w:spacing w:before="2" w:after="2"/>
              <w:rPr>
                <w:rFonts w:ascii="Arial" w:hAnsi="Arial" w:cs="Arial"/>
              </w:rPr>
            </w:pPr>
            <w:r w:rsidRPr="00EB2031">
              <w:rPr>
                <w:rFonts w:ascii="Arial" w:hAnsi="Arial" w:cs="Arial"/>
              </w:rPr>
              <w:t>2012</w:t>
            </w:r>
          </w:p>
        </w:tc>
        <w:tc>
          <w:tcPr>
            <w:tcW w:w="833" w:type="pct"/>
          </w:tcPr>
          <w:p w14:paraId="0A13E138" w14:textId="52D12B29" w:rsidR="00D50633" w:rsidRPr="00EB2031" w:rsidRDefault="00D50633" w:rsidP="00EB2031">
            <w:pPr>
              <w:pStyle w:val="NormalWeb"/>
              <w:spacing w:before="2" w:after="2"/>
              <w:jc w:val="center"/>
              <w:rPr>
                <w:rFonts w:ascii="Arial" w:hAnsi="Arial" w:cs="Arial"/>
              </w:rPr>
            </w:pPr>
            <w:r w:rsidRPr="00EB2031">
              <w:rPr>
                <w:rFonts w:ascii="Arial" w:hAnsi="Arial" w:cs="Arial"/>
              </w:rPr>
              <w:t>2,225</w:t>
            </w:r>
          </w:p>
        </w:tc>
        <w:tc>
          <w:tcPr>
            <w:tcW w:w="834" w:type="pct"/>
          </w:tcPr>
          <w:p w14:paraId="37B3C709" w14:textId="3D7195B7" w:rsidR="00D50633" w:rsidRPr="00EB2031" w:rsidRDefault="00D50633" w:rsidP="00EB2031">
            <w:pPr>
              <w:pStyle w:val="NormalWeb"/>
              <w:spacing w:before="2" w:after="2"/>
              <w:jc w:val="center"/>
              <w:rPr>
                <w:rFonts w:ascii="Arial" w:hAnsi="Arial" w:cs="Arial"/>
              </w:rPr>
            </w:pPr>
            <w:r w:rsidRPr="00EB2031">
              <w:rPr>
                <w:rFonts w:ascii="Arial" w:hAnsi="Arial" w:cs="Arial"/>
              </w:rPr>
              <w:t>59,222</w:t>
            </w:r>
          </w:p>
        </w:tc>
        <w:tc>
          <w:tcPr>
            <w:tcW w:w="834" w:type="pct"/>
          </w:tcPr>
          <w:p w14:paraId="06E765C3" w14:textId="498974CE" w:rsidR="00D50633" w:rsidRPr="00EB2031" w:rsidRDefault="00D50633" w:rsidP="00EB2031">
            <w:pPr>
              <w:pStyle w:val="NormalWeb"/>
              <w:spacing w:before="2" w:after="2"/>
              <w:jc w:val="center"/>
              <w:rPr>
                <w:rFonts w:ascii="Arial" w:hAnsi="Arial" w:cs="Arial"/>
              </w:rPr>
            </w:pPr>
            <w:r w:rsidRPr="00EB2031">
              <w:rPr>
                <w:rFonts w:ascii="Arial" w:hAnsi="Arial" w:cs="Arial"/>
              </w:rPr>
              <w:t>61,447</w:t>
            </w:r>
          </w:p>
        </w:tc>
        <w:tc>
          <w:tcPr>
            <w:tcW w:w="834" w:type="pct"/>
          </w:tcPr>
          <w:p w14:paraId="763793DF" w14:textId="3952EF2F" w:rsidR="00D50633" w:rsidRPr="00EB2031" w:rsidRDefault="00D50633" w:rsidP="00EB2031">
            <w:pPr>
              <w:pStyle w:val="NormalWeb"/>
              <w:spacing w:before="2" w:after="2"/>
              <w:jc w:val="center"/>
              <w:rPr>
                <w:rFonts w:ascii="Arial" w:hAnsi="Arial" w:cs="Arial"/>
              </w:rPr>
            </w:pPr>
            <w:r w:rsidRPr="00EB2031">
              <w:rPr>
                <w:rFonts w:ascii="Arial" w:hAnsi="Arial" w:cs="Arial"/>
              </w:rPr>
              <w:t>21,700</w:t>
            </w:r>
          </w:p>
        </w:tc>
        <w:tc>
          <w:tcPr>
            <w:tcW w:w="834" w:type="pct"/>
          </w:tcPr>
          <w:p w14:paraId="4D30CE64" w14:textId="3DAEAA94" w:rsidR="00D50633" w:rsidRPr="00EB2031" w:rsidRDefault="00D50633" w:rsidP="00EB2031">
            <w:pPr>
              <w:pStyle w:val="NormalWeb"/>
              <w:spacing w:before="2" w:after="2"/>
              <w:jc w:val="center"/>
              <w:rPr>
                <w:rFonts w:ascii="Arial" w:hAnsi="Arial" w:cs="Arial"/>
              </w:rPr>
            </w:pPr>
            <w:r w:rsidRPr="00EB2031">
              <w:rPr>
                <w:rFonts w:ascii="Arial" w:hAnsi="Arial" w:cs="Arial"/>
              </w:rPr>
              <w:t>83,147</w:t>
            </w:r>
          </w:p>
        </w:tc>
      </w:tr>
      <w:tr w:rsidR="00D50633" w:rsidRPr="00EB2031" w14:paraId="18CDE8FE" w14:textId="77777777" w:rsidTr="00EB2031">
        <w:tc>
          <w:tcPr>
            <w:tcW w:w="833" w:type="pct"/>
          </w:tcPr>
          <w:p w14:paraId="6E5E1CA2" w14:textId="70D2B4B2" w:rsidR="00D50633" w:rsidRPr="00EB2031" w:rsidRDefault="00D50633" w:rsidP="00EB2031">
            <w:pPr>
              <w:pStyle w:val="NormalWeb"/>
              <w:spacing w:before="2" w:after="2"/>
              <w:rPr>
                <w:rFonts w:ascii="Arial" w:hAnsi="Arial" w:cs="Arial"/>
              </w:rPr>
            </w:pPr>
            <w:r w:rsidRPr="00EB2031">
              <w:rPr>
                <w:rFonts w:ascii="Arial" w:hAnsi="Arial" w:cs="Arial"/>
              </w:rPr>
              <w:t>2013</w:t>
            </w:r>
          </w:p>
        </w:tc>
        <w:tc>
          <w:tcPr>
            <w:tcW w:w="833" w:type="pct"/>
          </w:tcPr>
          <w:p w14:paraId="2B7D5456" w14:textId="5E6B1510" w:rsidR="00D50633" w:rsidRPr="00EB2031" w:rsidRDefault="00D50633" w:rsidP="00EB2031">
            <w:pPr>
              <w:pStyle w:val="NormalWeb"/>
              <w:spacing w:before="2" w:after="2"/>
              <w:jc w:val="center"/>
              <w:rPr>
                <w:rFonts w:ascii="Arial" w:hAnsi="Arial" w:cs="Arial"/>
              </w:rPr>
            </w:pPr>
            <w:r w:rsidRPr="00EB2031">
              <w:rPr>
                <w:rFonts w:ascii="Arial" w:hAnsi="Arial" w:cs="Arial"/>
              </w:rPr>
              <w:t>2,375</w:t>
            </w:r>
          </w:p>
        </w:tc>
        <w:tc>
          <w:tcPr>
            <w:tcW w:w="834" w:type="pct"/>
          </w:tcPr>
          <w:p w14:paraId="021926DC" w14:textId="4D13DF27" w:rsidR="00D50633" w:rsidRPr="00EB2031" w:rsidRDefault="00D50633" w:rsidP="00EB2031">
            <w:pPr>
              <w:pStyle w:val="NormalWeb"/>
              <w:spacing w:before="2" w:after="2"/>
              <w:jc w:val="center"/>
              <w:rPr>
                <w:rFonts w:ascii="Arial" w:hAnsi="Arial" w:cs="Arial"/>
              </w:rPr>
            </w:pPr>
            <w:r w:rsidRPr="00EB2031">
              <w:rPr>
                <w:rFonts w:ascii="Arial" w:hAnsi="Arial" w:cs="Arial"/>
              </w:rPr>
              <w:t>62,331</w:t>
            </w:r>
          </w:p>
        </w:tc>
        <w:tc>
          <w:tcPr>
            <w:tcW w:w="834" w:type="pct"/>
          </w:tcPr>
          <w:p w14:paraId="19F48191" w14:textId="0E64BAEE" w:rsidR="00D50633" w:rsidRPr="00EB2031" w:rsidRDefault="00D50633" w:rsidP="00EB2031">
            <w:pPr>
              <w:pStyle w:val="NormalWeb"/>
              <w:spacing w:before="2" w:after="2"/>
              <w:jc w:val="center"/>
              <w:rPr>
                <w:rFonts w:ascii="Arial" w:hAnsi="Arial" w:cs="Arial"/>
              </w:rPr>
            </w:pPr>
            <w:r w:rsidRPr="00EB2031">
              <w:rPr>
                <w:rFonts w:ascii="Arial" w:hAnsi="Arial" w:cs="Arial"/>
              </w:rPr>
              <w:t>64,706</w:t>
            </w:r>
          </w:p>
        </w:tc>
        <w:tc>
          <w:tcPr>
            <w:tcW w:w="834" w:type="pct"/>
          </w:tcPr>
          <w:p w14:paraId="541B61A2" w14:textId="4963F52E" w:rsidR="00D50633" w:rsidRPr="00EB2031" w:rsidRDefault="00D50633" w:rsidP="00EB2031">
            <w:pPr>
              <w:pStyle w:val="NormalWeb"/>
              <w:spacing w:before="2" w:after="2"/>
              <w:jc w:val="center"/>
              <w:rPr>
                <w:rFonts w:ascii="Arial" w:hAnsi="Arial" w:cs="Arial"/>
              </w:rPr>
            </w:pPr>
            <w:r w:rsidRPr="00EB2031">
              <w:rPr>
                <w:rFonts w:ascii="Arial" w:hAnsi="Arial" w:cs="Arial"/>
              </w:rPr>
              <w:t>42,270</w:t>
            </w:r>
          </w:p>
        </w:tc>
        <w:tc>
          <w:tcPr>
            <w:tcW w:w="834" w:type="pct"/>
          </w:tcPr>
          <w:p w14:paraId="397D590C" w14:textId="1AC1D2CF" w:rsidR="00D50633" w:rsidRPr="00EB2031" w:rsidRDefault="00D50633" w:rsidP="00EB2031">
            <w:pPr>
              <w:pStyle w:val="NormalWeb"/>
              <w:spacing w:before="2" w:after="2"/>
              <w:jc w:val="center"/>
              <w:rPr>
                <w:rFonts w:ascii="Arial" w:hAnsi="Arial" w:cs="Arial"/>
              </w:rPr>
            </w:pPr>
            <w:r w:rsidRPr="00EB2031">
              <w:rPr>
                <w:rFonts w:ascii="Arial" w:hAnsi="Arial" w:cs="Arial"/>
              </w:rPr>
              <w:t>106,976</w:t>
            </w:r>
          </w:p>
        </w:tc>
      </w:tr>
      <w:tr w:rsidR="00D50633" w:rsidRPr="00EB2031" w14:paraId="77F96146" w14:textId="77777777" w:rsidTr="00EB2031">
        <w:tc>
          <w:tcPr>
            <w:tcW w:w="833" w:type="pct"/>
          </w:tcPr>
          <w:p w14:paraId="2E7024A0" w14:textId="18C114A9" w:rsidR="00D50633" w:rsidRPr="00EB2031" w:rsidRDefault="00D50633" w:rsidP="00EB2031">
            <w:pPr>
              <w:pStyle w:val="NormalWeb"/>
              <w:spacing w:before="2" w:after="2"/>
              <w:rPr>
                <w:rFonts w:ascii="Arial" w:hAnsi="Arial" w:cs="Arial"/>
              </w:rPr>
            </w:pPr>
            <w:r w:rsidRPr="00EB2031">
              <w:rPr>
                <w:rFonts w:ascii="Arial" w:hAnsi="Arial" w:cs="Arial"/>
              </w:rPr>
              <w:t>2014</w:t>
            </w:r>
          </w:p>
        </w:tc>
        <w:tc>
          <w:tcPr>
            <w:tcW w:w="833" w:type="pct"/>
          </w:tcPr>
          <w:p w14:paraId="1F39EB7D" w14:textId="4242597B" w:rsidR="00D50633" w:rsidRPr="00EB2031" w:rsidRDefault="00D50633" w:rsidP="00EB2031">
            <w:pPr>
              <w:pStyle w:val="NormalWeb"/>
              <w:spacing w:before="2" w:after="2"/>
              <w:jc w:val="center"/>
              <w:rPr>
                <w:rFonts w:ascii="Arial" w:hAnsi="Arial" w:cs="Arial"/>
              </w:rPr>
            </w:pPr>
            <w:r w:rsidRPr="00EB2031">
              <w:rPr>
                <w:rFonts w:ascii="Arial" w:hAnsi="Arial" w:cs="Arial"/>
              </w:rPr>
              <w:t>2,290</w:t>
            </w:r>
          </w:p>
        </w:tc>
        <w:tc>
          <w:tcPr>
            <w:tcW w:w="834" w:type="pct"/>
          </w:tcPr>
          <w:p w14:paraId="0C0BDA54" w14:textId="066FA578" w:rsidR="00D50633" w:rsidRPr="00EB2031" w:rsidRDefault="00D50633" w:rsidP="00EB2031">
            <w:pPr>
              <w:pStyle w:val="NormalWeb"/>
              <w:spacing w:before="2" w:after="2"/>
              <w:jc w:val="center"/>
              <w:rPr>
                <w:rFonts w:ascii="Arial" w:hAnsi="Arial" w:cs="Arial"/>
              </w:rPr>
            </w:pPr>
            <w:r w:rsidRPr="00EB2031">
              <w:rPr>
                <w:rFonts w:ascii="Arial" w:hAnsi="Arial" w:cs="Arial"/>
              </w:rPr>
              <w:t>46,904</w:t>
            </w:r>
          </w:p>
        </w:tc>
        <w:tc>
          <w:tcPr>
            <w:tcW w:w="834" w:type="pct"/>
          </w:tcPr>
          <w:p w14:paraId="3DC379AB" w14:textId="042BA1A6" w:rsidR="00D50633" w:rsidRPr="00EB2031" w:rsidRDefault="00D50633" w:rsidP="00EB2031">
            <w:pPr>
              <w:pStyle w:val="NormalWeb"/>
              <w:spacing w:before="2" w:after="2"/>
              <w:jc w:val="center"/>
              <w:rPr>
                <w:rFonts w:ascii="Arial" w:hAnsi="Arial" w:cs="Arial"/>
              </w:rPr>
            </w:pPr>
            <w:r w:rsidRPr="00EB2031">
              <w:rPr>
                <w:rFonts w:ascii="Arial" w:hAnsi="Arial" w:cs="Arial"/>
              </w:rPr>
              <w:t>49,193</w:t>
            </w:r>
          </w:p>
        </w:tc>
        <w:tc>
          <w:tcPr>
            <w:tcW w:w="834" w:type="pct"/>
          </w:tcPr>
          <w:p w14:paraId="0F1F74F5" w14:textId="18E5017F" w:rsidR="00D50633" w:rsidRPr="00EB2031" w:rsidRDefault="00D50633" w:rsidP="00EB2031">
            <w:pPr>
              <w:pStyle w:val="NormalWeb"/>
              <w:spacing w:before="2" w:after="2"/>
              <w:jc w:val="center"/>
              <w:rPr>
                <w:rFonts w:ascii="Arial" w:hAnsi="Arial" w:cs="Arial"/>
              </w:rPr>
            </w:pPr>
            <w:r w:rsidRPr="00EB2031">
              <w:rPr>
                <w:rFonts w:ascii="Arial" w:hAnsi="Arial" w:cs="Arial"/>
              </w:rPr>
              <w:t>30,000</w:t>
            </w:r>
          </w:p>
        </w:tc>
        <w:tc>
          <w:tcPr>
            <w:tcW w:w="834" w:type="pct"/>
          </w:tcPr>
          <w:p w14:paraId="44D69AB1" w14:textId="247734B6" w:rsidR="00D50633" w:rsidRPr="00EB2031" w:rsidRDefault="00D50633" w:rsidP="00EB2031">
            <w:pPr>
              <w:pStyle w:val="NormalWeb"/>
              <w:spacing w:before="2" w:after="2"/>
              <w:jc w:val="center"/>
              <w:rPr>
                <w:rFonts w:ascii="Arial" w:hAnsi="Arial" w:cs="Arial"/>
              </w:rPr>
            </w:pPr>
            <w:r w:rsidRPr="00EB2031">
              <w:rPr>
                <w:rFonts w:ascii="Arial" w:hAnsi="Arial" w:cs="Arial"/>
              </w:rPr>
              <w:t>79,193</w:t>
            </w:r>
          </w:p>
        </w:tc>
      </w:tr>
      <w:tr w:rsidR="00D50633" w:rsidRPr="00EB2031" w14:paraId="2061E2B8" w14:textId="77777777" w:rsidTr="00EB2031">
        <w:tc>
          <w:tcPr>
            <w:tcW w:w="833" w:type="pct"/>
          </w:tcPr>
          <w:p w14:paraId="3515A6A1" w14:textId="77777777" w:rsidR="00D50633" w:rsidRPr="00EB2031" w:rsidRDefault="00D50633" w:rsidP="00EB2031">
            <w:pPr>
              <w:pStyle w:val="NormalWeb"/>
              <w:spacing w:before="2" w:after="2"/>
              <w:rPr>
                <w:rFonts w:ascii="Arial" w:hAnsi="Arial" w:cs="Arial"/>
              </w:rPr>
            </w:pPr>
          </w:p>
        </w:tc>
        <w:tc>
          <w:tcPr>
            <w:tcW w:w="833" w:type="pct"/>
          </w:tcPr>
          <w:p w14:paraId="1AA62D0E" w14:textId="77777777" w:rsidR="00D50633" w:rsidRPr="00EB2031" w:rsidRDefault="00D50633" w:rsidP="00EB2031">
            <w:pPr>
              <w:pStyle w:val="NormalWeb"/>
              <w:spacing w:before="2" w:after="2"/>
              <w:jc w:val="center"/>
              <w:rPr>
                <w:rFonts w:ascii="Arial" w:hAnsi="Arial" w:cs="Arial"/>
              </w:rPr>
            </w:pPr>
          </w:p>
        </w:tc>
        <w:tc>
          <w:tcPr>
            <w:tcW w:w="834" w:type="pct"/>
          </w:tcPr>
          <w:p w14:paraId="741B3F42" w14:textId="77777777" w:rsidR="00D50633" w:rsidRPr="00EB2031" w:rsidRDefault="00D50633" w:rsidP="00EB2031">
            <w:pPr>
              <w:pStyle w:val="NormalWeb"/>
              <w:spacing w:before="2" w:after="2"/>
              <w:jc w:val="center"/>
              <w:rPr>
                <w:rFonts w:ascii="Arial" w:hAnsi="Arial" w:cs="Arial"/>
              </w:rPr>
            </w:pPr>
          </w:p>
        </w:tc>
        <w:tc>
          <w:tcPr>
            <w:tcW w:w="834" w:type="pct"/>
          </w:tcPr>
          <w:p w14:paraId="5456CAA0" w14:textId="77777777" w:rsidR="00D50633" w:rsidRPr="00EB2031" w:rsidRDefault="00D50633" w:rsidP="00EB2031">
            <w:pPr>
              <w:pStyle w:val="NormalWeb"/>
              <w:spacing w:before="2" w:after="2"/>
              <w:jc w:val="center"/>
              <w:rPr>
                <w:rFonts w:ascii="Arial" w:hAnsi="Arial" w:cs="Arial"/>
              </w:rPr>
            </w:pPr>
          </w:p>
        </w:tc>
        <w:tc>
          <w:tcPr>
            <w:tcW w:w="834" w:type="pct"/>
          </w:tcPr>
          <w:p w14:paraId="20A83B83" w14:textId="0C2E0037" w:rsidR="00D50633" w:rsidRPr="00EB2031" w:rsidRDefault="00D50633" w:rsidP="00EB2031">
            <w:pPr>
              <w:pStyle w:val="NormalWeb"/>
              <w:spacing w:before="2" w:after="2"/>
              <w:rPr>
                <w:rFonts w:ascii="Arial" w:hAnsi="Arial" w:cs="Arial"/>
              </w:rPr>
            </w:pPr>
            <w:r w:rsidRPr="00EB2031">
              <w:rPr>
                <w:rFonts w:ascii="Arial" w:hAnsi="Arial" w:cs="Arial"/>
              </w:rPr>
              <w:t>TOTAL</w:t>
            </w:r>
          </w:p>
        </w:tc>
        <w:tc>
          <w:tcPr>
            <w:tcW w:w="834" w:type="pct"/>
          </w:tcPr>
          <w:p w14:paraId="70FFCCD4" w14:textId="5BCAE624" w:rsidR="00D50633" w:rsidRPr="00EB2031" w:rsidRDefault="00D50633" w:rsidP="00EB2031">
            <w:pPr>
              <w:pStyle w:val="NormalWeb"/>
              <w:spacing w:before="2" w:after="2"/>
              <w:jc w:val="center"/>
              <w:rPr>
                <w:rFonts w:ascii="Arial" w:hAnsi="Arial" w:cs="Arial"/>
              </w:rPr>
            </w:pPr>
            <w:r w:rsidRPr="00EB2031">
              <w:rPr>
                <w:rFonts w:ascii="Arial" w:hAnsi="Arial" w:cs="Arial"/>
              </w:rPr>
              <w:t>390,366</w:t>
            </w:r>
          </w:p>
        </w:tc>
      </w:tr>
    </w:tbl>
    <w:p w14:paraId="0957B4D9" w14:textId="77777777" w:rsidR="009E259A" w:rsidRPr="00EB2031" w:rsidRDefault="009E259A" w:rsidP="00E53EA1">
      <w:pPr>
        <w:pStyle w:val="Highlight"/>
      </w:pPr>
      <w:r w:rsidRPr="00EB2031">
        <w:t>Source: Budget Office of the Federation</w:t>
      </w:r>
    </w:p>
    <w:p w14:paraId="04C18CCD" w14:textId="77777777" w:rsidR="009E259A" w:rsidRDefault="009E259A" w:rsidP="00E53EA1">
      <w:pPr>
        <w:pStyle w:val="Highlight"/>
      </w:pPr>
    </w:p>
    <w:p w14:paraId="26FECCFD" w14:textId="77777777" w:rsidR="00D50633" w:rsidRPr="00225669" w:rsidRDefault="00D50633" w:rsidP="00E53EA1">
      <w:pPr>
        <w:pStyle w:val="Highlight"/>
      </w:pPr>
    </w:p>
    <w:p w14:paraId="10434F25" w14:textId="6229F05C" w:rsidR="009E259A" w:rsidRDefault="00137DFE" w:rsidP="00EB2031">
      <w:pPr>
        <w:pStyle w:val="TableList"/>
      </w:pPr>
      <w:bookmarkStart w:id="51" w:name="_Toc311707940"/>
      <w:r w:rsidRPr="00CF369C">
        <w:t xml:space="preserve">Fund Allocation to </w:t>
      </w:r>
      <w:r w:rsidR="009E259A" w:rsidRPr="00CF369C">
        <w:t>Niger Delta Development Commission</w:t>
      </w:r>
      <w:bookmarkEnd w:id="51"/>
    </w:p>
    <w:p w14:paraId="28908349" w14:textId="77777777" w:rsidR="00EB2031" w:rsidRDefault="00EB2031" w:rsidP="00EB2031">
      <w:pPr>
        <w:pStyle w:val="TableList"/>
        <w:numPr>
          <w:ilvl w:val="0"/>
          <w:numId w:val="0"/>
        </w:numPr>
        <w:ind w:left="360"/>
      </w:pPr>
    </w:p>
    <w:tbl>
      <w:tblPr>
        <w:tblStyle w:val="TableGrid"/>
        <w:tblW w:w="2502" w:type="pct"/>
        <w:tblLook w:val="04A0" w:firstRow="1" w:lastRow="0" w:firstColumn="1" w:lastColumn="0" w:noHBand="0" w:noVBand="1"/>
      </w:tblPr>
      <w:tblGrid>
        <w:gridCol w:w="1529"/>
        <w:gridCol w:w="1558"/>
        <w:gridCol w:w="1557"/>
      </w:tblGrid>
      <w:tr w:rsidR="00EB2031" w:rsidRPr="00EB2031" w14:paraId="7A797D7F" w14:textId="77777777" w:rsidTr="00EB2031">
        <w:tc>
          <w:tcPr>
            <w:tcW w:w="1646" w:type="pct"/>
          </w:tcPr>
          <w:p w14:paraId="1406E725" w14:textId="147E9073" w:rsidR="00EB2031" w:rsidRPr="00EB2031" w:rsidRDefault="00EB2031" w:rsidP="00EB2031">
            <w:pPr>
              <w:pStyle w:val="NormalWeb"/>
              <w:spacing w:before="2" w:after="2"/>
              <w:rPr>
                <w:rFonts w:ascii="Arial" w:hAnsi="Arial" w:cs="Arial"/>
              </w:rPr>
            </w:pPr>
            <w:r w:rsidRPr="00EB2031">
              <w:rPr>
                <w:rFonts w:ascii="Arial" w:hAnsi="Arial" w:cs="Arial"/>
              </w:rPr>
              <w:t>Year</w:t>
            </w:r>
          </w:p>
        </w:tc>
        <w:tc>
          <w:tcPr>
            <w:tcW w:w="1677" w:type="pct"/>
          </w:tcPr>
          <w:p w14:paraId="67DE336E" w14:textId="56784A91" w:rsidR="00EB2031" w:rsidRPr="00EB2031" w:rsidRDefault="00EB2031" w:rsidP="00EB2031">
            <w:pPr>
              <w:pStyle w:val="NormalWeb"/>
              <w:spacing w:before="2" w:after="2"/>
              <w:jc w:val="center"/>
              <w:rPr>
                <w:rFonts w:ascii="Arial" w:hAnsi="Arial" w:cs="Arial"/>
              </w:rPr>
            </w:pPr>
            <w:r w:rsidRPr="00EB2031">
              <w:rPr>
                <w:rFonts w:ascii="Arial" w:hAnsi="Arial" w:cs="Arial"/>
              </w:rPr>
              <w:t>Federal Government (N'million)</w:t>
            </w:r>
          </w:p>
        </w:tc>
        <w:tc>
          <w:tcPr>
            <w:tcW w:w="1676" w:type="pct"/>
          </w:tcPr>
          <w:p w14:paraId="5267FD9E" w14:textId="5FD17EC1" w:rsidR="00EB2031" w:rsidRPr="00EB2031" w:rsidRDefault="00EB2031" w:rsidP="00EB2031">
            <w:pPr>
              <w:pStyle w:val="NormalWeb"/>
              <w:spacing w:before="2" w:after="2"/>
              <w:jc w:val="center"/>
              <w:rPr>
                <w:rFonts w:ascii="Arial" w:hAnsi="Arial" w:cs="Arial"/>
              </w:rPr>
            </w:pPr>
            <w:r w:rsidRPr="00EB2031">
              <w:rPr>
                <w:rFonts w:ascii="Arial" w:hAnsi="Arial" w:cs="Arial"/>
              </w:rPr>
              <w:t>Oil Companies  (N'million)</w:t>
            </w:r>
          </w:p>
        </w:tc>
      </w:tr>
      <w:tr w:rsidR="00EB2031" w:rsidRPr="00EB2031" w14:paraId="5B3CCDB3" w14:textId="77777777" w:rsidTr="00EB2031">
        <w:tc>
          <w:tcPr>
            <w:tcW w:w="1646" w:type="pct"/>
          </w:tcPr>
          <w:p w14:paraId="21D06EF2" w14:textId="02F8A967" w:rsidR="00EB2031" w:rsidRPr="00EB2031" w:rsidRDefault="00EB2031" w:rsidP="00EB2031">
            <w:pPr>
              <w:pStyle w:val="NormalWeb"/>
              <w:spacing w:before="2" w:after="2"/>
              <w:rPr>
                <w:rFonts w:ascii="Arial" w:hAnsi="Arial" w:cs="Arial"/>
              </w:rPr>
            </w:pPr>
            <w:r w:rsidRPr="00EB2031">
              <w:rPr>
                <w:rFonts w:ascii="Arial" w:hAnsi="Arial" w:cs="Arial"/>
              </w:rPr>
              <w:t>2007</w:t>
            </w:r>
          </w:p>
        </w:tc>
        <w:tc>
          <w:tcPr>
            <w:tcW w:w="1677" w:type="pct"/>
          </w:tcPr>
          <w:p w14:paraId="543CEC7D" w14:textId="18878E7D" w:rsidR="00EB2031" w:rsidRPr="00EB2031" w:rsidRDefault="00EB2031" w:rsidP="00EB2031">
            <w:pPr>
              <w:pStyle w:val="NormalWeb"/>
              <w:spacing w:before="2" w:after="2"/>
              <w:jc w:val="center"/>
              <w:rPr>
                <w:rFonts w:ascii="Arial" w:hAnsi="Arial" w:cs="Arial"/>
              </w:rPr>
            </w:pPr>
            <w:r w:rsidRPr="00EB2031">
              <w:rPr>
                <w:rFonts w:ascii="Arial" w:hAnsi="Arial" w:cs="Arial"/>
              </w:rPr>
              <w:t>24,000</w:t>
            </w:r>
          </w:p>
        </w:tc>
        <w:tc>
          <w:tcPr>
            <w:tcW w:w="1676" w:type="pct"/>
          </w:tcPr>
          <w:p w14:paraId="4049688D" w14:textId="2372227D" w:rsidR="00EB2031" w:rsidRPr="00EB2031" w:rsidRDefault="00EB2031" w:rsidP="00EB2031">
            <w:pPr>
              <w:pStyle w:val="NormalWeb"/>
              <w:spacing w:before="2" w:after="2"/>
              <w:jc w:val="center"/>
              <w:rPr>
                <w:rFonts w:ascii="Arial" w:hAnsi="Arial" w:cs="Arial"/>
              </w:rPr>
            </w:pPr>
            <w:r w:rsidRPr="00EB2031">
              <w:rPr>
                <w:rFonts w:ascii="Arial" w:hAnsi="Arial" w:cs="Arial"/>
              </w:rPr>
              <w:t>40,531</w:t>
            </w:r>
          </w:p>
        </w:tc>
      </w:tr>
      <w:tr w:rsidR="00EB2031" w:rsidRPr="00EB2031" w14:paraId="26A27529" w14:textId="77777777" w:rsidTr="00EB2031">
        <w:tc>
          <w:tcPr>
            <w:tcW w:w="1646" w:type="pct"/>
          </w:tcPr>
          <w:p w14:paraId="46AC3C1F" w14:textId="6CA1CE0E" w:rsidR="00EB2031" w:rsidRPr="00EB2031" w:rsidRDefault="00EB2031" w:rsidP="00EB2031">
            <w:pPr>
              <w:pStyle w:val="NormalWeb"/>
              <w:spacing w:before="2" w:after="2"/>
              <w:rPr>
                <w:rFonts w:ascii="Arial" w:hAnsi="Arial" w:cs="Arial"/>
              </w:rPr>
            </w:pPr>
            <w:r w:rsidRPr="00EB2031">
              <w:rPr>
                <w:rFonts w:ascii="Arial" w:hAnsi="Arial" w:cs="Arial"/>
              </w:rPr>
              <w:t>2008</w:t>
            </w:r>
          </w:p>
        </w:tc>
        <w:tc>
          <w:tcPr>
            <w:tcW w:w="1677" w:type="pct"/>
          </w:tcPr>
          <w:p w14:paraId="588B40E9" w14:textId="166AD537" w:rsidR="00EB2031" w:rsidRPr="00EB2031" w:rsidRDefault="00EB2031" w:rsidP="00EB2031">
            <w:pPr>
              <w:pStyle w:val="NormalWeb"/>
              <w:spacing w:before="2" w:after="2"/>
              <w:jc w:val="center"/>
              <w:rPr>
                <w:rFonts w:ascii="Arial" w:hAnsi="Arial" w:cs="Arial"/>
              </w:rPr>
            </w:pPr>
            <w:r w:rsidRPr="00EB2031">
              <w:rPr>
                <w:rFonts w:ascii="Arial" w:hAnsi="Arial" w:cs="Arial"/>
              </w:rPr>
              <w:t>40,570</w:t>
            </w:r>
          </w:p>
        </w:tc>
        <w:tc>
          <w:tcPr>
            <w:tcW w:w="1676" w:type="pct"/>
          </w:tcPr>
          <w:p w14:paraId="714607B4" w14:textId="1B8268A3" w:rsidR="00EB2031" w:rsidRPr="00EB2031" w:rsidRDefault="00EB2031" w:rsidP="00EB2031">
            <w:pPr>
              <w:pStyle w:val="NormalWeb"/>
              <w:spacing w:before="2" w:after="2"/>
              <w:jc w:val="center"/>
              <w:rPr>
                <w:rFonts w:ascii="Arial" w:hAnsi="Arial" w:cs="Arial"/>
              </w:rPr>
            </w:pPr>
            <w:r w:rsidRPr="00EB2031">
              <w:rPr>
                <w:rFonts w:ascii="Arial" w:hAnsi="Arial" w:cs="Arial"/>
              </w:rPr>
              <w:t>43,942</w:t>
            </w:r>
          </w:p>
        </w:tc>
      </w:tr>
      <w:tr w:rsidR="00EB2031" w:rsidRPr="00EB2031" w14:paraId="5B3AB8FB" w14:textId="77777777" w:rsidTr="00EB2031">
        <w:tc>
          <w:tcPr>
            <w:tcW w:w="1646" w:type="pct"/>
          </w:tcPr>
          <w:p w14:paraId="4175679B" w14:textId="74F4FDE4" w:rsidR="00EB2031" w:rsidRPr="00EB2031" w:rsidRDefault="00EB2031" w:rsidP="00EB2031">
            <w:pPr>
              <w:pStyle w:val="NormalWeb"/>
              <w:spacing w:before="2" w:after="2"/>
              <w:rPr>
                <w:rFonts w:ascii="Arial" w:hAnsi="Arial" w:cs="Arial"/>
              </w:rPr>
            </w:pPr>
            <w:r w:rsidRPr="00EB2031">
              <w:rPr>
                <w:rFonts w:ascii="Arial" w:hAnsi="Arial" w:cs="Arial"/>
              </w:rPr>
              <w:t>2009</w:t>
            </w:r>
          </w:p>
        </w:tc>
        <w:tc>
          <w:tcPr>
            <w:tcW w:w="1677" w:type="pct"/>
          </w:tcPr>
          <w:p w14:paraId="50148A9C" w14:textId="75BD1B5F" w:rsidR="00EB2031" w:rsidRPr="00EB2031" w:rsidRDefault="00EB2031" w:rsidP="00EB2031">
            <w:pPr>
              <w:pStyle w:val="NormalWeb"/>
              <w:spacing w:before="2" w:after="2"/>
              <w:jc w:val="center"/>
              <w:rPr>
                <w:rFonts w:ascii="Arial" w:hAnsi="Arial" w:cs="Arial"/>
              </w:rPr>
            </w:pPr>
            <w:r w:rsidRPr="00EB2031">
              <w:rPr>
                <w:rFonts w:ascii="Arial" w:hAnsi="Arial" w:cs="Arial"/>
              </w:rPr>
              <w:t>51,318</w:t>
            </w:r>
          </w:p>
        </w:tc>
        <w:tc>
          <w:tcPr>
            <w:tcW w:w="1676" w:type="pct"/>
          </w:tcPr>
          <w:p w14:paraId="3F1672B1" w14:textId="72CFFBFA" w:rsidR="00EB2031" w:rsidRPr="00EB2031" w:rsidRDefault="00EB2031" w:rsidP="00EB2031">
            <w:pPr>
              <w:pStyle w:val="NormalWeb"/>
              <w:spacing w:before="2" w:after="2"/>
              <w:jc w:val="center"/>
              <w:rPr>
                <w:rFonts w:ascii="Arial" w:hAnsi="Arial" w:cs="Arial"/>
              </w:rPr>
            </w:pPr>
            <w:r w:rsidRPr="00EB2031">
              <w:rPr>
                <w:rFonts w:ascii="Arial" w:hAnsi="Arial" w:cs="Arial"/>
              </w:rPr>
              <w:t>89,928</w:t>
            </w:r>
          </w:p>
        </w:tc>
      </w:tr>
      <w:tr w:rsidR="00EB2031" w:rsidRPr="00EB2031" w14:paraId="0B472A98" w14:textId="77777777" w:rsidTr="00EB2031">
        <w:tc>
          <w:tcPr>
            <w:tcW w:w="1646" w:type="pct"/>
          </w:tcPr>
          <w:p w14:paraId="76D7565D" w14:textId="30029863" w:rsidR="00EB2031" w:rsidRPr="00EB2031" w:rsidRDefault="00EB2031" w:rsidP="00EB2031">
            <w:pPr>
              <w:pStyle w:val="NormalWeb"/>
              <w:spacing w:before="2" w:after="2"/>
              <w:rPr>
                <w:rFonts w:ascii="Arial" w:hAnsi="Arial" w:cs="Arial"/>
              </w:rPr>
            </w:pPr>
            <w:r w:rsidRPr="00EB2031">
              <w:rPr>
                <w:rFonts w:ascii="Arial" w:hAnsi="Arial" w:cs="Arial"/>
              </w:rPr>
              <w:t>2010</w:t>
            </w:r>
          </w:p>
        </w:tc>
        <w:tc>
          <w:tcPr>
            <w:tcW w:w="1677" w:type="pct"/>
          </w:tcPr>
          <w:p w14:paraId="3E191E2E" w14:textId="6E9CDD76" w:rsidR="00EB2031" w:rsidRPr="00EB2031" w:rsidRDefault="00EB2031" w:rsidP="00EB2031">
            <w:pPr>
              <w:pStyle w:val="NormalWeb"/>
              <w:spacing w:before="2" w:after="2"/>
              <w:jc w:val="center"/>
              <w:rPr>
                <w:rFonts w:ascii="Arial" w:hAnsi="Arial" w:cs="Arial"/>
              </w:rPr>
            </w:pPr>
            <w:r w:rsidRPr="00EB2031">
              <w:rPr>
                <w:rFonts w:ascii="Arial" w:hAnsi="Arial" w:cs="Arial"/>
              </w:rPr>
              <w:t>44,938</w:t>
            </w:r>
          </w:p>
        </w:tc>
        <w:tc>
          <w:tcPr>
            <w:tcW w:w="1676" w:type="pct"/>
          </w:tcPr>
          <w:p w14:paraId="64A78FDE" w14:textId="12E8ED5C" w:rsidR="00EB2031" w:rsidRPr="00EB2031" w:rsidRDefault="00EB2031" w:rsidP="00EB2031">
            <w:pPr>
              <w:pStyle w:val="NormalWeb"/>
              <w:spacing w:before="2" w:after="2"/>
              <w:jc w:val="center"/>
              <w:rPr>
                <w:rFonts w:ascii="Arial" w:hAnsi="Arial" w:cs="Arial"/>
              </w:rPr>
            </w:pPr>
            <w:r w:rsidRPr="00EB2031">
              <w:rPr>
                <w:rFonts w:ascii="Arial" w:hAnsi="Arial" w:cs="Arial"/>
              </w:rPr>
              <w:t>89,773</w:t>
            </w:r>
          </w:p>
        </w:tc>
      </w:tr>
      <w:tr w:rsidR="00EB2031" w:rsidRPr="00EB2031" w14:paraId="3FFCB570" w14:textId="77777777" w:rsidTr="00EB2031">
        <w:tc>
          <w:tcPr>
            <w:tcW w:w="1646" w:type="pct"/>
          </w:tcPr>
          <w:p w14:paraId="4439AEC2" w14:textId="0CE68EB5" w:rsidR="00EB2031" w:rsidRPr="00EB2031" w:rsidRDefault="00EB2031" w:rsidP="00EB2031">
            <w:pPr>
              <w:pStyle w:val="NormalWeb"/>
              <w:spacing w:before="2" w:after="2"/>
              <w:rPr>
                <w:rFonts w:ascii="Arial" w:hAnsi="Arial" w:cs="Arial"/>
              </w:rPr>
            </w:pPr>
            <w:r w:rsidRPr="00EB2031">
              <w:rPr>
                <w:rFonts w:ascii="Arial" w:hAnsi="Arial" w:cs="Arial"/>
              </w:rPr>
              <w:t>2011</w:t>
            </w:r>
          </w:p>
        </w:tc>
        <w:tc>
          <w:tcPr>
            <w:tcW w:w="1677" w:type="pct"/>
          </w:tcPr>
          <w:p w14:paraId="73F22263" w14:textId="03FD76A5" w:rsidR="00EB2031" w:rsidRPr="00EB2031" w:rsidRDefault="00EB2031" w:rsidP="00EB2031">
            <w:pPr>
              <w:pStyle w:val="NormalWeb"/>
              <w:spacing w:before="2" w:after="2"/>
              <w:jc w:val="center"/>
              <w:rPr>
                <w:rFonts w:ascii="Arial" w:hAnsi="Arial" w:cs="Arial"/>
              </w:rPr>
            </w:pPr>
            <w:r w:rsidRPr="00EB2031">
              <w:rPr>
                <w:rFonts w:ascii="Arial" w:hAnsi="Arial" w:cs="Arial"/>
              </w:rPr>
              <w:t>56,077</w:t>
            </w:r>
          </w:p>
        </w:tc>
        <w:tc>
          <w:tcPr>
            <w:tcW w:w="1676" w:type="pct"/>
          </w:tcPr>
          <w:p w14:paraId="2B1E2EF8" w14:textId="2DBD56F5" w:rsidR="00EB2031" w:rsidRPr="00EB2031" w:rsidRDefault="00EB2031" w:rsidP="00EB2031">
            <w:pPr>
              <w:pStyle w:val="NormalWeb"/>
              <w:spacing w:before="2" w:after="2"/>
              <w:jc w:val="center"/>
              <w:rPr>
                <w:rFonts w:ascii="Arial" w:hAnsi="Arial" w:cs="Arial"/>
              </w:rPr>
            </w:pPr>
            <w:r w:rsidRPr="00EB2031">
              <w:rPr>
                <w:rFonts w:ascii="Arial" w:hAnsi="Arial" w:cs="Arial"/>
              </w:rPr>
              <w:t>111,576</w:t>
            </w:r>
          </w:p>
        </w:tc>
      </w:tr>
      <w:tr w:rsidR="00EB2031" w:rsidRPr="00EB2031" w14:paraId="1C24C9AF" w14:textId="77777777" w:rsidTr="00EB2031">
        <w:tc>
          <w:tcPr>
            <w:tcW w:w="1646" w:type="pct"/>
          </w:tcPr>
          <w:p w14:paraId="5CC95F41" w14:textId="53BDC5A0" w:rsidR="00EB2031" w:rsidRPr="00EB2031" w:rsidRDefault="00EB2031" w:rsidP="00EB2031">
            <w:pPr>
              <w:pStyle w:val="NormalWeb"/>
              <w:spacing w:before="2" w:after="2"/>
              <w:rPr>
                <w:rFonts w:ascii="Arial" w:hAnsi="Arial" w:cs="Arial"/>
              </w:rPr>
            </w:pPr>
            <w:r w:rsidRPr="00EB2031">
              <w:rPr>
                <w:rFonts w:ascii="Arial" w:hAnsi="Arial" w:cs="Arial"/>
              </w:rPr>
              <w:t>2012</w:t>
            </w:r>
          </w:p>
        </w:tc>
        <w:tc>
          <w:tcPr>
            <w:tcW w:w="1677" w:type="pct"/>
          </w:tcPr>
          <w:p w14:paraId="34582B16" w14:textId="3253760D" w:rsidR="00EB2031" w:rsidRPr="00EB2031" w:rsidRDefault="00EB2031" w:rsidP="00EB2031">
            <w:pPr>
              <w:pStyle w:val="NormalWeb"/>
              <w:spacing w:before="2" w:after="2"/>
              <w:jc w:val="center"/>
              <w:rPr>
                <w:rFonts w:ascii="Arial" w:hAnsi="Arial" w:cs="Arial"/>
              </w:rPr>
            </w:pPr>
            <w:r w:rsidRPr="00EB2031">
              <w:rPr>
                <w:rFonts w:ascii="Arial" w:hAnsi="Arial" w:cs="Arial"/>
              </w:rPr>
              <w:t>48,673</w:t>
            </w:r>
          </w:p>
        </w:tc>
        <w:tc>
          <w:tcPr>
            <w:tcW w:w="1676" w:type="pct"/>
          </w:tcPr>
          <w:p w14:paraId="3579C91A" w14:textId="46E48BEA" w:rsidR="00EB2031" w:rsidRPr="00EB2031" w:rsidRDefault="00EB2031" w:rsidP="00EB2031">
            <w:pPr>
              <w:pStyle w:val="NormalWeb"/>
              <w:spacing w:before="2" w:after="2"/>
              <w:jc w:val="center"/>
              <w:rPr>
                <w:rFonts w:ascii="Arial" w:hAnsi="Arial" w:cs="Arial"/>
              </w:rPr>
            </w:pPr>
            <w:r w:rsidRPr="00EB2031">
              <w:rPr>
                <w:rFonts w:ascii="Arial" w:hAnsi="Arial" w:cs="Arial"/>
              </w:rPr>
              <w:t>131,526</w:t>
            </w:r>
          </w:p>
        </w:tc>
      </w:tr>
      <w:tr w:rsidR="00EB2031" w:rsidRPr="00EB2031" w14:paraId="482E7FDD" w14:textId="77777777" w:rsidTr="00EB2031">
        <w:tc>
          <w:tcPr>
            <w:tcW w:w="1646" w:type="pct"/>
          </w:tcPr>
          <w:p w14:paraId="4A59ECE1" w14:textId="48D87CE1" w:rsidR="00EB2031" w:rsidRPr="00EB2031" w:rsidRDefault="00EB2031" w:rsidP="00EB2031">
            <w:pPr>
              <w:pStyle w:val="NormalWeb"/>
              <w:spacing w:before="2" w:after="2"/>
              <w:rPr>
                <w:rFonts w:ascii="Arial" w:hAnsi="Arial" w:cs="Arial"/>
              </w:rPr>
            </w:pPr>
            <w:r w:rsidRPr="00EB2031">
              <w:rPr>
                <w:rFonts w:ascii="Arial" w:hAnsi="Arial" w:cs="Arial"/>
              </w:rPr>
              <w:t>2013</w:t>
            </w:r>
          </w:p>
        </w:tc>
        <w:tc>
          <w:tcPr>
            <w:tcW w:w="1677" w:type="pct"/>
          </w:tcPr>
          <w:p w14:paraId="76E15751" w14:textId="343B9AA8" w:rsidR="00EB2031" w:rsidRPr="00EB2031" w:rsidRDefault="00EB2031" w:rsidP="00EB2031">
            <w:pPr>
              <w:pStyle w:val="NormalWeb"/>
              <w:spacing w:before="2" w:after="2"/>
              <w:jc w:val="center"/>
              <w:rPr>
                <w:rFonts w:ascii="Arial" w:hAnsi="Arial" w:cs="Arial"/>
              </w:rPr>
            </w:pPr>
            <w:r w:rsidRPr="00EB2031">
              <w:rPr>
                <w:rFonts w:ascii="Arial" w:hAnsi="Arial" w:cs="Arial"/>
              </w:rPr>
              <w:t>61,347</w:t>
            </w:r>
          </w:p>
        </w:tc>
        <w:tc>
          <w:tcPr>
            <w:tcW w:w="1676" w:type="pct"/>
          </w:tcPr>
          <w:p w14:paraId="3DDFA7A0" w14:textId="6DA8ED7B" w:rsidR="00EB2031" w:rsidRPr="00EB2031" w:rsidRDefault="00EB2031" w:rsidP="00EB2031">
            <w:pPr>
              <w:pStyle w:val="NormalWeb"/>
              <w:spacing w:before="2" w:after="2"/>
              <w:jc w:val="center"/>
              <w:rPr>
                <w:rFonts w:ascii="Arial" w:hAnsi="Arial" w:cs="Arial"/>
              </w:rPr>
            </w:pPr>
            <w:r w:rsidRPr="00EB2031">
              <w:rPr>
                <w:rFonts w:ascii="Arial" w:hAnsi="Arial" w:cs="Arial"/>
              </w:rPr>
              <w:t>152,394</w:t>
            </w:r>
          </w:p>
        </w:tc>
      </w:tr>
      <w:tr w:rsidR="00EB2031" w:rsidRPr="00EB2031" w14:paraId="15496FC8" w14:textId="77777777" w:rsidTr="00EB2031">
        <w:tc>
          <w:tcPr>
            <w:tcW w:w="1646" w:type="pct"/>
          </w:tcPr>
          <w:p w14:paraId="3AEC19DA" w14:textId="04AB6858" w:rsidR="00EB2031" w:rsidRPr="00EB2031" w:rsidRDefault="00EB2031" w:rsidP="00EB2031">
            <w:pPr>
              <w:pStyle w:val="NormalWeb"/>
              <w:spacing w:before="2" w:after="2"/>
              <w:rPr>
                <w:rFonts w:ascii="Arial" w:hAnsi="Arial" w:cs="Arial"/>
              </w:rPr>
            </w:pPr>
            <w:r w:rsidRPr="00EB2031">
              <w:rPr>
                <w:rFonts w:ascii="Arial" w:hAnsi="Arial" w:cs="Arial"/>
              </w:rPr>
              <w:t>2014</w:t>
            </w:r>
          </w:p>
        </w:tc>
        <w:tc>
          <w:tcPr>
            <w:tcW w:w="1677" w:type="pct"/>
          </w:tcPr>
          <w:p w14:paraId="0EA88E80" w14:textId="3ECEB7BC" w:rsidR="00EB2031" w:rsidRPr="00EB2031" w:rsidRDefault="00EB2031" w:rsidP="00EB2031">
            <w:pPr>
              <w:pStyle w:val="NormalWeb"/>
              <w:spacing w:before="2" w:after="2"/>
              <w:jc w:val="center"/>
              <w:rPr>
                <w:rFonts w:ascii="Arial" w:hAnsi="Arial" w:cs="Arial"/>
              </w:rPr>
            </w:pPr>
            <w:r w:rsidRPr="00EB2031">
              <w:rPr>
                <w:rFonts w:ascii="Arial" w:hAnsi="Arial" w:cs="Arial"/>
              </w:rPr>
              <w:t>61,940</w:t>
            </w:r>
          </w:p>
        </w:tc>
        <w:tc>
          <w:tcPr>
            <w:tcW w:w="1676" w:type="pct"/>
          </w:tcPr>
          <w:p w14:paraId="736F70DB" w14:textId="1B6B70E1" w:rsidR="00EB2031" w:rsidRPr="00EB2031" w:rsidRDefault="00EB2031" w:rsidP="00EB2031">
            <w:pPr>
              <w:pStyle w:val="NormalWeb"/>
              <w:spacing w:before="2" w:after="2"/>
              <w:jc w:val="center"/>
              <w:rPr>
                <w:rFonts w:ascii="Arial" w:hAnsi="Arial" w:cs="Arial"/>
              </w:rPr>
            </w:pPr>
            <w:r w:rsidRPr="00EB2031">
              <w:rPr>
                <w:rFonts w:ascii="Arial" w:hAnsi="Arial" w:cs="Arial"/>
              </w:rPr>
              <w:t>165,045</w:t>
            </w:r>
          </w:p>
        </w:tc>
      </w:tr>
      <w:tr w:rsidR="00EB2031" w:rsidRPr="00EB2031" w14:paraId="42EF1B8A" w14:textId="77777777" w:rsidTr="00EB2031">
        <w:tc>
          <w:tcPr>
            <w:tcW w:w="1646" w:type="pct"/>
          </w:tcPr>
          <w:p w14:paraId="3D5206A0" w14:textId="03D62974" w:rsidR="00EB2031" w:rsidRPr="00EB2031" w:rsidRDefault="00EB2031" w:rsidP="00EB2031">
            <w:pPr>
              <w:pStyle w:val="NormalWeb"/>
              <w:spacing w:before="2" w:after="2"/>
              <w:rPr>
                <w:rFonts w:ascii="Arial" w:hAnsi="Arial" w:cs="Arial"/>
              </w:rPr>
            </w:pPr>
            <w:r w:rsidRPr="00EB2031">
              <w:rPr>
                <w:rFonts w:ascii="Arial" w:hAnsi="Arial" w:cs="Arial"/>
              </w:rPr>
              <w:t>TOTAL</w:t>
            </w:r>
          </w:p>
        </w:tc>
        <w:tc>
          <w:tcPr>
            <w:tcW w:w="1677" w:type="pct"/>
          </w:tcPr>
          <w:p w14:paraId="0ED50018" w14:textId="4A010615" w:rsidR="00EB2031" w:rsidRPr="00EB2031" w:rsidRDefault="00EB2031" w:rsidP="00EB2031">
            <w:pPr>
              <w:pStyle w:val="NormalWeb"/>
              <w:spacing w:before="2" w:after="2"/>
              <w:jc w:val="center"/>
              <w:rPr>
                <w:rFonts w:ascii="Arial" w:hAnsi="Arial" w:cs="Arial"/>
              </w:rPr>
            </w:pPr>
            <w:r w:rsidRPr="00EB2031">
              <w:rPr>
                <w:rFonts w:ascii="Arial" w:hAnsi="Arial" w:cs="Arial"/>
              </w:rPr>
              <w:t>272,975</w:t>
            </w:r>
          </w:p>
        </w:tc>
        <w:tc>
          <w:tcPr>
            <w:tcW w:w="1676" w:type="pct"/>
          </w:tcPr>
          <w:p w14:paraId="1C7155A3" w14:textId="24531D49" w:rsidR="00EB2031" w:rsidRPr="00EB2031" w:rsidRDefault="00EB2031" w:rsidP="00EB2031">
            <w:pPr>
              <w:pStyle w:val="NormalWeb"/>
              <w:spacing w:before="2" w:after="2"/>
              <w:jc w:val="center"/>
              <w:rPr>
                <w:rFonts w:ascii="Arial" w:hAnsi="Arial" w:cs="Arial"/>
              </w:rPr>
            </w:pPr>
            <w:r w:rsidRPr="00EB2031">
              <w:rPr>
                <w:rFonts w:ascii="Arial" w:hAnsi="Arial" w:cs="Arial"/>
              </w:rPr>
              <w:t>650,315</w:t>
            </w:r>
          </w:p>
        </w:tc>
      </w:tr>
      <w:tr w:rsidR="00EB2031" w:rsidRPr="00EB2031" w14:paraId="04852582" w14:textId="77777777" w:rsidTr="00EB2031">
        <w:tc>
          <w:tcPr>
            <w:tcW w:w="1646" w:type="pct"/>
          </w:tcPr>
          <w:p w14:paraId="6A00685A" w14:textId="77777777" w:rsidR="00EB2031" w:rsidRPr="00EB2031" w:rsidRDefault="00EB2031" w:rsidP="00EB2031">
            <w:pPr>
              <w:pStyle w:val="NormalWeb"/>
              <w:spacing w:before="2" w:after="2"/>
              <w:rPr>
                <w:rFonts w:ascii="Arial" w:hAnsi="Arial" w:cs="Arial"/>
              </w:rPr>
            </w:pPr>
          </w:p>
        </w:tc>
        <w:tc>
          <w:tcPr>
            <w:tcW w:w="1677" w:type="pct"/>
          </w:tcPr>
          <w:p w14:paraId="2CB04220" w14:textId="4F84630B" w:rsidR="00EB2031" w:rsidRPr="00EB2031" w:rsidRDefault="00EB2031" w:rsidP="00EB2031">
            <w:pPr>
              <w:pStyle w:val="NormalWeb"/>
              <w:spacing w:before="2" w:after="2"/>
              <w:jc w:val="center"/>
              <w:rPr>
                <w:rFonts w:ascii="Arial" w:hAnsi="Arial" w:cs="Arial"/>
              </w:rPr>
            </w:pPr>
            <w:r w:rsidRPr="00EB2031">
              <w:rPr>
                <w:rFonts w:ascii="Arial" w:hAnsi="Arial" w:cs="Arial"/>
              </w:rPr>
              <w:t>Grand Total</w:t>
            </w:r>
          </w:p>
        </w:tc>
        <w:tc>
          <w:tcPr>
            <w:tcW w:w="1676" w:type="pct"/>
          </w:tcPr>
          <w:p w14:paraId="00E5A204" w14:textId="135B470B" w:rsidR="00EB2031" w:rsidRPr="00EB2031" w:rsidRDefault="00EB2031" w:rsidP="00EB2031">
            <w:pPr>
              <w:pStyle w:val="NormalWeb"/>
              <w:spacing w:before="2" w:after="2"/>
              <w:jc w:val="center"/>
              <w:rPr>
                <w:rFonts w:ascii="Arial" w:hAnsi="Arial" w:cs="Arial"/>
              </w:rPr>
            </w:pPr>
            <w:r w:rsidRPr="00EB2031">
              <w:rPr>
                <w:rFonts w:ascii="Arial" w:hAnsi="Arial" w:cs="Arial"/>
              </w:rPr>
              <w:t>923,291</w:t>
            </w:r>
            <w:r w:rsidRPr="00EB2031">
              <w:rPr>
                <w:rFonts w:ascii="Arial" w:hAnsi="Arial" w:cs="Arial"/>
                <w:vertAlign w:val="superscript"/>
              </w:rPr>
              <w:footnoteReference w:id="58"/>
            </w:r>
          </w:p>
        </w:tc>
      </w:tr>
    </w:tbl>
    <w:p w14:paraId="78904B37" w14:textId="77777777" w:rsidR="009E259A" w:rsidRPr="00EB2031" w:rsidRDefault="009E259A" w:rsidP="00E53EA1">
      <w:pPr>
        <w:pStyle w:val="Highlight"/>
      </w:pPr>
      <w:r w:rsidRPr="00EB2031">
        <w:t xml:space="preserve">Source: </w:t>
      </w:r>
    </w:p>
    <w:p w14:paraId="52A264FB" w14:textId="77777777" w:rsidR="009E259A" w:rsidRPr="00EB2031" w:rsidRDefault="009E259A" w:rsidP="00E53EA1">
      <w:pPr>
        <w:pStyle w:val="Highlight"/>
        <w:numPr>
          <w:ilvl w:val="0"/>
          <w:numId w:val="15"/>
        </w:numPr>
      </w:pPr>
      <w:r w:rsidRPr="00EB2031">
        <w:t xml:space="preserve">NEITI Report (2007-2011). Available at: </w:t>
      </w:r>
      <w:hyperlink r:id="rId16" w:history="1">
        <w:r w:rsidRPr="00EB2031">
          <w:rPr>
            <w:rStyle w:val="Hyperlink"/>
          </w:rPr>
          <w:t>http://neiti.org.ng/sites/default/files/pdf_uploads/NEITI-FASD-Audit-Report-2007-2011/Beneficiary-Agencies-Reports/NDDC-300614.pdf</w:t>
        </w:r>
      </w:hyperlink>
    </w:p>
    <w:p w14:paraId="3B08CF85" w14:textId="77777777" w:rsidR="009E259A" w:rsidRPr="00EB2031" w:rsidRDefault="009E259A" w:rsidP="00E53EA1">
      <w:pPr>
        <w:pStyle w:val="Highlight"/>
        <w:numPr>
          <w:ilvl w:val="0"/>
          <w:numId w:val="15"/>
        </w:numPr>
      </w:pPr>
      <w:r w:rsidRPr="00EB2031">
        <w:t>Federal Government figures (2012-2014), Budget Office of the Federation</w:t>
      </w:r>
    </w:p>
    <w:p w14:paraId="5C0DEF17" w14:textId="77777777" w:rsidR="009E259A" w:rsidRDefault="009E259A" w:rsidP="00E53EA1">
      <w:pPr>
        <w:pStyle w:val="Highlight"/>
      </w:pPr>
    </w:p>
    <w:p w14:paraId="180AC00F" w14:textId="77777777" w:rsidR="00D50633" w:rsidRPr="00225669" w:rsidRDefault="00D50633" w:rsidP="00E53EA1">
      <w:pPr>
        <w:pStyle w:val="Highlight"/>
      </w:pPr>
    </w:p>
    <w:p w14:paraId="1D9A3407" w14:textId="7DF6D5CE" w:rsidR="009E259A" w:rsidRDefault="00137DFE" w:rsidP="00EB2031">
      <w:pPr>
        <w:pStyle w:val="TableList"/>
      </w:pPr>
      <w:bookmarkStart w:id="52" w:name="_Toc311707941"/>
      <w:r w:rsidRPr="00CF369C">
        <w:t xml:space="preserve">Fund Allocation to </w:t>
      </w:r>
      <w:r w:rsidR="009E259A" w:rsidRPr="00CF369C">
        <w:t>Presidential Amnesty Programme</w:t>
      </w:r>
      <w:bookmarkEnd w:id="52"/>
    </w:p>
    <w:p w14:paraId="225E6813" w14:textId="77777777" w:rsidR="00EB2031" w:rsidRDefault="00EB2031" w:rsidP="00EB2031">
      <w:pPr>
        <w:pStyle w:val="TableList"/>
        <w:numPr>
          <w:ilvl w:val="0"/>
          <w:numId w:val="0"/>
        </w:numPr>
        <w:ind w:left="360"/>
      </w:pPr>
    </w:p>
    <w:tbl>
      <w:tblPr>
        <w:tblStyle w:val="TableGrid"/>
        <w:tblW w:w="3343" w:type="pct"/>
        <w:tblLook w:val="04A0" w:firstRow="1" w:lastRow="0" w:firstColumn="1" w:lastColumn="0" w:noHBand="0" w:noVBand="1"/>
      </w:tblPr>
      <w:tblGrid>
        <w:gridCol w:w="1536"/>
        <w:gridCol w:w="1562"/>
        <w:gridCol w:w="1557"/>
        <w:gridCol w:w="1550"/>
      </w:tblGrid>
      <w:tr w:rsidR="00EB2031" w:rsidRPr="00EB2031" w14:paraId="0C947458" w14:textId="77777777" w:rsidTr="00EB2031">
        <w:tc>
          <w:tcPr>
            <w:tcW w:w="1237" w:type="pct"/>
          </w:tcPr>
          <w:p w14:paraId="7AE7B322" w14:textId="2C4D4222" w:rsidR="00EB2031" w:rsidRPr="00EB2031" w:rsidRDefault="00EB2031" w:rsidP="00EB2031">
            <w:pPr>
              <w:pStyle w:val="NormalWeb"/>
              <w:spacing w:before="2" w:after="2"/>
              <w:rPr>
                <w:rFonts w:ascii="Arial" w:hAnsi="Arial" w:cs="Arial"/>
              </w:rPr>
            </w:pPr>
            <w:r w:rsidRPr="00EB2031">
              <w:rPr>
                <w:rFonts w:ascii="Arial" w:hAnsi="Arial" w:cs="Arial"/>
              </w:rPr>
              <w:t>Year</w:t>
            </w:r>
          </w:p>
        </w:tc>
        <w:tc>
          <w:tcPr>
            <w:tcW w:w="1259" w:type="pct"/>
          </w:tcPr>
          <w:p w14:paraId="25D02985" w14:textId="2AEEE7EC" w:rsidR="00EB2031" w:rsidRPr="00EB2031" w:rsidRDefault="00EB2031" w:rsidP="00EB2031">
            <w:pPr>
              <w:pStyle w:val="NormalWeb"/>
              <w:spacing w:before="2" w:after="2"/>
              <w:jc w:val="center"/>
              <w:rPr>
                <w:rFonts w:ascii="Arial" w:hAnsi="Arial" w:cs="Arial"/>
              </w:rPr>
            </w:pPr>
            <w:r w:rsidRPr="00EB2031">
              <w:rPr>
                <w:rFonts w:ascii="Arial" w:hAnsi="Arial" w:cs="Arial"/>
              </w:rPr>
              <w:t>Total Recurrent (N'million)</w:t>
            </w:r>
          </w:p>
        </w:tc>
        <w:tc>
          <w:tcPr>
            <w:tcW w:w="1255" w:type="pct"/>
          </w:tcPr>
          <w:p w14:paraId="3DD5AB0F" w14:textId="2A440CD9" w:rsidR="00EB2031" w:rsidRPr="00EB2031" w:rsidRDefault="00EB2031" w:rsidP="00EB2031">
            <w:pPr>
              <w:pStyle w:val="NormalWeb"/>
              <w:spacing w:before="2" w:after="2"/>
              <w:jc w:val="center"/>
              <w:rPr>
                <w:rFonts w:ascii="Arial" w:hAnsi="Arial" w:cs="Arial"/>
              </w:rPr>
            </w:pPr>
            <w:r w:rsidRPr="00EB2031">
              <w:rPr>
                <w:rFonts w:ascii="Arial" w:hAnsi="Arial" w:cs="Arial"/>
              </w:rPr>
              <w:t>Total Capital (N'million)</w:t>
            </w:r>
          </w:p>
        </w:tc>
        <w:tc>
          <w:tcPr>
            <w:tcW w:w="1250" w:type="pct"/>
          </w:tcPr>
          <w:p w14:paraId="49102CD3" w14:textId="0FAD9895" w:rsidR="00EB2031" w:rsidRPr="00EB2031" w:rsidRDefault="00EB2031" w:rsidP="00EB2031">
            <w:pPr>
              <w:pStyle w:val="NormalWeb"/>
              <w:spacing w:before="2" w:after="2"/>
              <w:jc w:val="center"/>
              <w:rPr>
                <w:rFonts w:ascii="Arial" w:hAnsi="Arial" w:cs="Arial"/>
              </w:rPr>
            </w:pPr>
            <w:r w:rsidRPr="00EB2031">
              <w:rPr>
                <w:rFonts w:ascii="Arial" w:hAnsi="Arial" w:cs="Arial"/>
              </w:rPr>
              <w:t>Estimated Inflow (N'million)</w:t>
            </w:r>
          </w:p>
        </w:tc>
      </w:tr>
      <w:tr w:rsidR="00EB2031" w:rsidRPr="00EB2031" w14:paraId="232FCFEB" w14:textId="77777777" w:rsidTr="00EB2031">
        <w:tc>
          <w:tcPr>
            <w:tcW w:w="1237" w:type="pct"/>
          </w:tcPr>
          <w:p w14:paraId="364017B4" w14:textId="11C34501" w:rsidR="00EB2031" w:rsidRPr="00EB2031" w:rsidRDefault="00EB2031" w:rsidP="00EB2031">
            <w:pPr>
              <w:pStyle w:val="NormalWeb"/>
              <w:spacing w:before="2" w:after="2"/>
              <w:rPr>
                <w:rFonts w:ascii="Arial" w:hAnsi="Arial" w:cs="Arial"/>
              </w:rPr>
            </w:pPr>
            <w:r w:rsidRPr="00EB2031">
              <w:rPr>
                <w:rFonts w:ascii="Arial" w:hAnsi="Arial" w:cs="Arial"/>
              </w:rPr>
              <w:t>2010</w:t>
            </w:r>
          </w:p>
        </w:tc>
        <w:tc>
          <w:tcPr>
            <w:tcW w:w="1259" w:type="pct"/>
          </w:tcPr>
          <w:p w14:paraId="53DA3605" w14:textId="0B3AE5AC"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5" w:type="pct"/>
          </w:tcPr>
          <w:p w14:paraId="755751A7" w14:textId="6D89B4B3"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0" w:type="pct"/>
          </w:tcPr>
          <w:p w14:paraId="31E46CD4" w14:textId="56E6203A"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r>
      <w:tr w:rsidR="00EB2031" w:rsidRPr="00EB2031" w14:paraId="1533872D" w14:textId="77777777" w:rsidTr="00EB2031">
        <w:tc>
          <w:tcPr>
            <w:tcW w:w="1237" w:type="pct"/>
          </w:tcPr>
          <w:p w14:paraId="7C48281C" w14:textId="556F2BCF" w:rsidR="00EB2031" w:rsidRPr="00EB2031" w:rsidRDefault="00EB2031" w:rsidP="00EB2031">
            <w:pPr>
              <w:pStyle w:val="NormalWeb"/>
              <w:spacing w:before="2" w:after="2"/>
              <w:rPr>
                <w:rFonts w:ascii="Arial" w:hAnsi="Arial" w:cs="Arial"/>
              </w:rPr>
            </w:pPr>
            <w:r w:rsidRPr="00EB2031">
              <w:rPr>
                <w:rFonts w:ascii="Arial" w:hAnsi="Arial" w:cs="Arial"/>
              </w:rPr>
              <w:t>2011</w:t>
            </w:r>
          </w:p>
        </w:tc>
        <w:tc>
          <w:tcPr>
            <w:tcW w:w="1259" w:type="pct"/>
          </w:tcPr>
          <w:p w14:paraId="7737ADC8" w14:textId="24F07CC4" w:rsidR="00EB2031" w:rsidRPr="00EB2031" w:rsidRDefault="00EB2031" w:rsidP="00EB2031">
            <w:pPr>
              <w:pStyle w:val="NormalWeb"/>
              <w:spacing w:before="2" w:after="2"/>
              <w:jc w:val="center"/>
              <w:rPr>
                <w:rFonts w:ascii="Arial" w:hAnsi="Arial" w:cs="Arial"/>
              </w:rPr>
            </w:pPr>
            <w:r w:rsidRPr="00EB2031">
              <w:rPr>
                <w:rFonts w:ascii="Arial" w:hAnsi="Arial" w:cs="Arial"/>
              </w:rPr>
              <w:t>78,695</w:t>
            </w:r>
          </w:p>
        </w:tc>
        <w:tc>
          <w:tcPr>
            <w:tcW w:w="1255" w:type="pct"/>
          </w:tcPr>
          <w:p w14:paraId="2E12DC5A" w14:textId="38EF3981"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0" w:type="pct"/>
          </w:tcPr>
          <w:p w14:paraId="249C2491" w14:textId="4C7DDC95" w:rsidR="00EB2031" w:rsidRPr="00EB2031" w:rsidRDefault="00EB2031" w:rsidP="00EB2031">
            <w:pPr>
              <w:pStyle w:val="NormalWeb"/>
              <w:spacing w:before="2" w:after="2"/>
              <w:jc w:val="center"/>
              <w:rPr>
                <w:rFonts w:ascii="Arial" w:hAnsi="Arial" w:cs="Arial"/>
              </w:rPr>
            </w:pPr>
            <w:r w:rsidRPr="00EB2031">
              <w:rPr>
                <w:rFonts w:ascii="Arial" w:hAnsi="Arial" w:cs="Arial"/>
              </w:rPr>
              <w:t>78,695</w:t>
            </w:r>
          </w:p>
        </w:tc>
      </w:tr>
      <w:tr w:rsidR="00EB2031" w:rsidRPr="00EB2031" w14:paraId="21E599FE" w14:textId="77777777" w:rsidTr="00EB2031">
        <w:tc>
          <w:tcPr>
            <w:tcW w:w="1237" w:type="pct"/>
          </w:tcPr>
          <w:p w14:paraId="74D57B2C" w14:textId="13842E5A" w:rsidR="00EB2031" w:rsidRPr="00EB2031" w:rsidRDefault="00EB2031" w:rsidP="00EB2031">
            <w:pPr>
              <w:pStyle w:val="NormalWeb"/>
              <w:spacing w:before="2" w:after="2"/>
              <w:rPr>
                <w:rFonts w:ascii="Arial" w:hAnsi="Arial" w:cs="Arial"/>
              </w:rPr>
            </w:pPr>
            <w:r w:rsidRPr="00EB2031">
              <w:rPr>
                <w:rFonts w:ascii="Arial" w:hAnsi="Arial" w:cs="Arial"/>
              </w:rPr>
              <w:t>2012</w:t>
            </w:r>
          </w:p>
        </w:tc>
        <w:tc>
          <w:tcPr>
            <w:tcW w:w="1259" w:type="pct"/>
          </w:tcPr>
          <w:p w14:paraId="3CE33F2B" w14:textId="50F2ED97" w:rsidR="00EB2031" w:rsidRPr="00EB2031" w:rsidRDefault="00EB2031" w:rsidP="00EB2031">
            <w:pPr>
              <w:pStyle w:val="NormalWeb"/>
              <w:spacing w:before="2" w:after="2"/>
              <w:jc w:val="center"/>
              <w:rPr>
                <w:rFonts w:ascii="Arial" w:hAnsi="Arial" w:cs="Arial"/>
              </w:rPr>
            </w:pPr>
            <w:r w:rsidRPr="00EB2031">
              <w:rPr>
                <w:rFonts w:ascii="Arial" w:hAnsi="Arial" w:cs="Arial"/>
              </w:rPr>
              <w:t>66,176</w:t>
            </w:r>
          </w:p>
        </w:tc>
        <w:tc>
          <w:tcPr>
            <w:tcW w:w="1255" w:type="pct"/>
          </w:tcPr>
          <w:p w14:paraId="74FB3BF2" w14:textId="12918ADB"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0" w:type="pct"/>
          </w:tcPr>
          <w:p w14:paraId="65379F42" w14:textId="7488B498" w:rsidR="00EB2031" w:rsidRPr="00EB2031" w:rsidRDefault="00EB2031" w:rsidP="00EB2031">
            <w:pPr>
              <w:pStyle w:val="NormalWeb"/>
              <w:spacing w:before="2" w:after="2"/>
              <w:jc w:val="center"/>
              <w:rPr>
                <w:rFonts w:ascii="Arial" w:hAnsi="Arial" w:cs="Arial"/>
              </w:rPr>
            </w:pPr>
            <w:r w:rsidRPr="00EB2031">
              <w:rPr>
                <w:rFonts w:ascii="Arial" w:hAnsi="Arial" w:cs="Arial"/>
              </w:rPr>
              <w:t>66,176</w:t>
            </w:r>
          </w:p>
        </w:tc>
      </w:tr>
      <w:tr w:rsidR="00EB2031" w:rsidRPr="00EB2031" w14:paraId="70DB6A39" w14:textId="77777777" w:rsidTr="00EB2031">
        <w:tc>
          <w:tcPr>
            <w:tcW w:w="1237" w:type="pct"/>
          </w:tcPr>
          <w:p w14:paraId="00517826" w14:textId="3B851E89" w:rsidR="00EB2031" w:rsidRPr="00EB2031" w:rsidRDefault="00EB2031" w:rsidP="00EB2031">
            <w:pPr>
              <w:pStyle w:val="NormalWeb"/>
              <w:spacing w:before="2" w:after="2"/>
              <w:rPr>
                <w:rFonts w:ascii="Arial" w:hAnsi="Arial" w:cs="Arial"/>
              </w:rPr>
            </w:pPr>
            <w:r w:rsidRPr="00EB2031">
              <w:rPr>
                <w:rFonts w:ascii="Arial" w:hAnsi="Arial" w:cs="Arial"/>
              </w:rPr>
              <w:t>2013</w:t>
            </w:r>
          </w:p>
        </w:tc>
        <w:tc>
          <w:tcPr>
            <w:tcW w:w="1259" w:type="pct"/>
          </w:tcPr>
          <w:p w14:paraId="507AF93C" w14:textId="7CF13639" w:rsidR="00EB2031" w:rsidRPr="00EB2031" w:rsidRDefault="00EB2031" w:rsidP="00EB2031">
            <w:pPr>
              <w:pStyle w:val="NormalWeb"/>
              <w:spacing w:before="2" w:after="2"/>
              <w:jc w:val="center"/>
              <w:rPr>
                <w:rFonts w:ascii="Arial" w:hAnsi="Arial" w:cs="Arial"/>
              </w:rPr>
            </w:pPr>
            <w:r w:rsidRPr="00EB2031">
              <w:rPr>
                <w:rFonts w:ascii="Arial" w:hAnsi="Arial" w:cs="Arial"/>
              </w:rPr>
              <w:t>66,781</w:t>
            </w:r>
          </w:p>
        </w:tc>
        <w:tc>
          <w:tcPr>
            <w:tcW w:w="1255" w:type="pct"/>
          </w:tcPr>
          <w:p w14:paraId="18B84BD1" w14:textId="4CBA1B59"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0" w:type="pct"/>
          </w:tcPr>
          <w:p w14:paraId="71414AB1" w14:textId="1AB7FBE0" w:rsidR="00EB2031" w:rsidRPr="00EB2031" w:rsidRDefault="00EB2031" w:rsidP="00EB2031">
            <w:pPr>
              <w:pStyle w:val="NormalWeb"/>
              <w:spacing w:before="2" w:after="2"/>
              <w:jc w:val="center"/>
              <w:rPr>
                <w:rFonts w:ascii="Arial" w:hAnsi="Arial" w:cs="Arial"/>
              </w:rPr>
            </w:pPr>
            <w:r w:rsidRPr="00EB2031">
              <w:rPr>
                <w:rFonts w:ascii="Arial" w:hAnsi="Arial" w:cs="Arial"/>
              </w:rPr>
              <w:t>66,781</w:t>
            </w:r>
          </w:p>
        </w:tc>
      </w:tr>
      <w:tr w:rsidR="00EB2031" w:rsidRPr="00EB2031" w14:paraId="53A67238" w14:textId="77777777" w:rsidTr="00EB2031">
        <w:tc>
          <w:tcPr>
            <w:tcW w:w="1237" w:type="pct"/>
          </w:tcPr>
          <w:p w14:paraId="2C870BB6" w14:textId="1F469259" w:rsidR="00EB2031" w:rsidRPr="00EB2031" w:rsidRDefault="00EB2031" w:rsidP="00EB2031">
            <w:pPr>
              <w:pStyle w:val="NormalWeb"/>
              <w:spacing w:before="2" w:after="2"/>
              <w:rPr>
                <w:rFonts w:ascii="Arial" w:hAnsi="Arial" w:cs="Arial"/>
              </w:rPr>
            </w:pPr>
            <w:r w:rsidRPr="00EB2031">
              <w:rPr>
                <w:rFonts w:ascii="Arial" w:hAnsi="Arial" w:cs="Arial"/>
              </w:rPr>
              <w:t>2014</w:t>
            </w:r>
          </w:p>
        </w:tc>
        <w:tc>
          <w:tcPr>
            <w:tcW w:w="1259" w:type="pct"/>
          </w:tcPr>
          <w:p w14:paraId="53D91A76" w14:textId="71692F3B" w:rsidR="00EB2031" w:rsidRPr="00EB2031" w:rsidRDefault="00EB2031" w:rsidP="00EB2031">
            <w:pPr>
              <w:pStyle w:val="NormalWeb"/>
              <w:spacing w:before="2" w:after="2"/>
              <w:jc w:val="center"/>
              <w:rPr>
                <w:rFonts w:ascii="Arial" w:hAnsi="Arial" w:cs="Arial"/>
              </w:rPr>
            </w:pPr>
            <w:r w:rsidRPr="00EB2031">
              <w:rPr>
                <w:rFonts w:ascii="Arial" w:hAnsi="Arial" w:cs="Arial"/>
              </w:rPr>
              <w:t>63,281</w:t>
            </w:r>
          </w:p>
        </w:tc>
        <w:tc>
          <w:tcPr>
            <w:tcW w:w="1255" w:type="pct"/>
          </w:tcPr>
          <w:p w14:paraId="4AD8F66F" w14:textId="6B45CE89" w:rsidR="00EB2031" w:rsidRPr="00EB2031" w:rsidRDefault="00EB2031" w:rsidP="00EB2031">
            <w:pPr>
              <w:pStyle w:val="NormalWeb"/>
              <w:spacing w:before="2" w:after="2"/>
              <w:jc w:val="center"/>
              <w:rPr>
                <w:rFonts w:ascii="Arial" w:hAnsi="Arial" w:cs="Arial"/>
              </w:rPr>
            </w:pPr>
            <w:r w:rsidRPr="00EB2031">
              <w:rPr>
                <w:rFonts w:ascii="Arial" w:hAnsi="Arial" w:cs="Arial"/>
              </w:rPr>
              <w:t>-</w:t>
            </w:r>
          </w:p>
        </w:tc>
        <w:tc>
          <w:tcPr>
            <w:tcW w:w="1250" w:type="pct"/>
          </w:tcPr>
          <w:p w14:paraId="0072EACD" w14:textId="70115162" w:rsidR="00EB2031" w:rsidRPr="00EB2031" w:rsidRDefault="00EB2031" w:rsidP="00EB2031">
            <w:pPr>
              <w:pStyle w:val="NormalWeb"/>
              <w:spacing w:before="2" w:after="2"/>
              <w:jc w:val="center"/>
              <w:rPr>
                <w:rFonts w:ascii="Arial" w:hAnsi="Arial" w:cs="Arial"/>
              </w:rPr>
            </w:pPr>
            <w:r w:rsidRPr="00EB2031">
              <w:rPr>
                <w:rFonts w:ascii="Arial" w:hAnsi="Arial" w:cs="Arial"/>
              </w:rPr>
              <w:t>63,281</w:t>
            </w:r>
          </w:p>
        </w:tc>
      </w:tr>
      <w:tr w:rsidR="00EB2031" w:rsidRPr="00EB2031" w14:paraId="0CB907AA" w14:textId="77777777" w:rsidTr="00EB2031">
        <w:tc>
          <w:tcPr>
            <w:tcW w:w="1237" w:type="pct"/>
          </w:tcPr>
          <w:p w14:paraId="3378AD94" w14:textId="636C00EE" w:rsidR="00EB2031" w:rsidRPr="00EB2031" w:rsidRDefault="00EB2031" w:rsidP="00EB2031">
            <w:pPr>
              <w:pStyle w:val="NormalWeb"/>
              <w:spacing w:before="2" w:after="2"/>
              <w:rPr>
                <w:rFonts w:ascii="Arial" w:hAnsi="Arial" w:cs="Arial"/>
              </w:rPr>
            </w:pPr>
            <w:r w:rsidRPr="00EB2031">
              <w:rPr>
                <w:rFonts w:ascii="Arial" w:hAnsi="Arial" w:cs="Arial"/>
              </w:rPr>
              <w:t>TOTAL</w:t>
            </w:r>
          </w:p>
        </w:tc>
        <w:tc>
          <w:tcPr>
            <w:tcW w:w="1259" w:type="pct"/>
          </w:tcPr>
          <w:p w14:paraId="37A7E6E6" w14:textId="77777777" w:rsidR="00EB2031" w:rsidRPr="00EB2031" w:rsidRDefault="00EB2031" w:rsidP="00EB2031">
            <w:pPr>
              <w:pStyle w:val="NormalWeb"/>
              <w:spacing w:before="2" w:after="2"/>
              <w:jc w:val="center"/>
              <w:rPr>
                <w:rFonts w:ascii="Arial" w:hAnsi="Arial" w:cs="Arial"/>
              </w:rPr>
            </w:pPr>
          </w:p>
        </w:tc>
        <w:tc>
          <w:tcPr>
            <w:tcW w:w="1255" w:type="pct"/>
          </w:tcPr>
          <w:p w14:paraId="3F51E11E" w14:textId="77777777" w:rsidR="00EB2031" w:rsidRPr="00EB2031" w:rsidRDefault="00EB2031" w:rsidP="00EB2031">
            <w:pPr>
              <w:pStyle w:val="NormalWeb"/>
              <w:spacing w:before="2" w:after="2"/>
              <w:jc w:val="center"/>
              <w:rPr>
                <w:rFonts w:ascii="Arial" w:hAnsi="Arial" w:cs="Arial"/>
              </w:rPr>
            </w:pPr>
          </w:p>
        </w:tc>
        <w:tc>
          <w:tcPr>
            <w:tcW w:w="1250" w:type="pct"/>
          </w:tcPr>
          <w:p w14:paraId="43361464" w14:textId="416C8CB1" w:rsidR="00EB2031" w:rsidRPr="00EB2031" w:rsidRDefault="00EB2031" w:rsidP="00EB2031">
            <w:pPr>
              <w:pStyle w:val="NormalWeb"/>
              <w:spacing w:before="2" w:after="2"/>
              <w:jc w:val="center"/>
              <w:rPr>
                <w:rFonts w:ascii="Arial" w:hAnsi="Arial" w:cs="Arial"/>
              </w:rPr>
            </w:pPr>
            <w:r w:rsidRPr="00EB2031">
              <w:rPr>
                <w:rFonts w:ascii="Arial" w:hAnsi="Arial" w:cs="Arial"/>
              </w:rPr>
              <w:t>274,933</w:t>
            </w:r>
          </w:p>
        </w:tc>
      </w:tr>
    </w:tbl>
    <w:p w14:paraId="2E4FEF2D" w14:textId="77777777" w:rsidR="009E259A" w:rsidRPr="00EB2031" w:rsidRDefault="009E259A" w:rsidP="00E53EA1">
      <w:pPr>
        <w:pStyle w:val="Highlight"/>
      </w:pPr>
      <w:r w:rsidRPr="00EB2031">
        <w:t xml:space="preserve">Source: </w:t>
      </w:r>
    </w:p>
    <w:p w14:paraId="4B97620C" w14:textId="77777777" w:rsidR="009E259A" w:rsidRPr="00EB2031" w:rsidRDefault="009E259A" w:rsidP="00E53EA1">
      <w:pPr>
        <w:pStyle w:val="Highlight"/>
        <w:numPr>
          <w:ilvl w:val="0"/>
          <w:numId w:val="16"/>
        </w:numPr>
      </w:pPr>
      <w:r w:rsidRPr="00EB2031">
        <w:t>Budget Office of the Federation</w:t>
      </w:r>
    </w:p>
    <w:p w14:paraId="15974710" w14:textId="77777777" w:rsidR="00D50633" w:rsidRDefault="009E259A" w:rsidP="00E53EA1">
      <w:pPr>
        <w:pStyle w:val="Highlight"/>
        <w:numPr>
          <w:ilvl w:val="0"/>
          <w:numId w:val="16"/>
        </w:numPr>
      </w:pPr>
      <w:r w:rsidRPr="00EB2031">
        <w:t>Lack of data exists for 2010. However, according to a report</w:t>
      </w:r>
      <w:r w:rsidRPr="00605344">
        <w:footnoteReference w:id="59"/>
      </w:r>
      <w:r w:rsidRPr="00EB2031">
        <w:t xml:space="preserve"> from the Office of the Special Adviser to the President on Niger Delta, a total of N234,133,917,560 has been spent from (March 2010-June 2014)</w:t>
      </w:r>
    </w:p>
    <w:p w14:paraId="77DC9701" w14:textId="77777777" w:rsidR="00605344" w:rsidRDefault="00605344" w:rsidP="00E53EA1">
      <w:pPr>
        <w:pStyle w:val="Highlight"/>
      </w:pPr>
    </w:p>
    <w:p w14:paraId="495EFDD9" w14:textId="77777777" w:rsidR="00D50633" w:rsidRDefault="00D50633" w:rsidP="00E53EA1">
      <w:pPr>
        <w:pStyle w:val="Highlight"/>
      </w:pPr>
    </w:p>
    <w:p w14:paraId="551BAEE6" w14:textId="77777777" w:rsidR="009E259A" w:rsidRDefault="009E259A" w:rsidP="00EB2031">
      <w:pPr>
        <w:pStyle w:val="TableList"/>
      </w:pPr>
      <w:bookmarkStart w:id="53" w:name="_Toc311707942"/>
      <w:r w:rsidRPr="00225669">
        <w:t>Federal Government Allocations</w:t>
      </w:r>
      <w:r w:rsidR="008E6063" w:rsidRPr="00225669">
        <w:rPr>
          <w:rStyle w:val="FootnoteReference"/>
          <w:sz w:val="20"/>
          <w:szCs w:val="20"/>
        </w:rPr>
        <w:footnoteReference w:id="60"/>
      </w:r>
      <w:r w:rsidRPr="00225669">
        <w:t>to Nine (9) Niger Delta States</w:t>
      </w:r>
      <w:bookmarkEnd w:id="53"/>
    </w:p>
    <w:p w14:paraId="3DF99CF3" w14:textId="77777777" w:rsidR="00EB2031" w:rsidRPr="00EB2031" w:rsidRDefault="00EB2031" w:rsidP="00EB2031">
      <w:pPr>
        <w:pStyle w:val="NormalWeb"/>
        <w:spacing w:before="2" w:after="2"/>
        <w:rPr>
          <w:rFonts w:ascii="Arial" w:hAnsi="Arial" w:cs="Arial"/>
        </w:rPr>
      </w:pPr>
    </w:p>
    <w:tbl>
      <w:tblPr>
        <w:tblStyle w:val="TableGrid"/>
        <w:tblW w:w="5000" w:type="pct"/>
        <w:jc w:val="center"/>
        <w:tblLook w:val="04A0" w:firstRow="1" w:lastRow="0" w:firstColumn="1" w:lastColumn="0" w:noHBand="0" w:noVBand="1"/>
      </w:tblPr>
      <w:tblGrid>
        <w:gridCol w:w="1055"/>
        <w:gridCol w:w="1344"/>
        <w:gridCol w:w="1357"/>
        <w:gridCol w:w="1470"/>
        <w:gridCol w:w="1357"/>
        <w:gridCol w:w="1344"/>
        <w:gridCol w:w="1353"/>
      </w:tblGrid>
      <w:tr w:rsidR="00CE17AA" w:rsidRPr="00CE17AA" w14:paraId="534A2789" w14:textId="77777777" w:rsidTr="00CE17AA">
        <w:trPr>
          <w:jc w:val="center"/>
        </w:trPr>
        <w:tc>
          <w:tcPr>
            <w:tcW w:w="569" w:type="pct"/>
          </w:tcPr>
          <w:p w14:paraId="75692682" w14:textId="77777777" w:rsidR="00CE17AA" w:rsidRPr="00CE17AA" w:rsidRDefault="00CE17AA" w:rsidP="00EB2031">
            <w:pPr>
              <w:pStyle w:val="NormalWeb"/>
              <w:spacing w:before="2" w:after="2"/>
              <w:rPr>
                <w:rFonts w:ascii="Arial" w:hAnsi="Arial" w:cs="Arial"/>
              </w:rPr>
            </w:pPr>
          </w:p>
        </w:tc>
        <w:tc>
          <w:tcPr>
            <w:tcW w:w="1454" w:type="pct"/>
            <w:gridSpan w:val="2"/>
          </w:tcPr>
          <w:p w14:paraId="7241B8B5" w14:textId="339A65B3" w:rsidR="00CE17AA" w:rsidRPr="00CE17AA" w:rsidRDefault="00CE17AA" w:rsidP="00CE17AA">
            <w:pPr>
              <w:pStyle w:val="NormalWeb"/>
              <w:spacing w:before="2" w:after="2"/>
              <w:jc w:val="center"/>
              <w:rPr>
                <w:rFonts w:ascii="Arial" w:hAnsi="Arial" w:cs="Arial"/>
              </w:rPr>
            </w:pPr>
            <w:r w:rsidRPr="00CE17AA">
              <w:rPr>
                <w:rFonts w:ascii="Arial" w:hAnsi="Arial" w:cs="Arial"/>
              </w:rPr>
              <w:t>Abia</w:t>
            </w:r>
          </w:p>
        </w:tc>
        <w:tc>
          <w:tcPr>
            <w:tcW w:w="1523" w:type="pct"/>
            <w:gridSpan w:val="2"/>
          </w:tcPr>
          <w:p w14:paraId="7006E15E" w14:textId="453C5DA5" w:rsidR="00CE17AA" w:rsidRPr="00CE17AA" w:rsidRDefault="00CE17AA" w:rsidP="00CE17AA">
            <w:pPr>
              <w:pStyle w:val="NormalWeb"/>
              <w:spacing w:before="2" w:after="2"/>
              <w:jc w:val="center"/>
              <w:rPr>
                <w:rFonts w:ascii="Arial" w:hAnsi="Arial" w:cs="Arial"/>
              </w:rPr>
            </w:pPr>
            <w:r w:rsidRPr="00CE17AA">
              <w:rPr>
                <w:rFonts w:ascii="Arial" w:hAnsi="Arial" w:cs="Arial"/>
              </w:rPr>
              <w:t>Akwa Ibom</w:t>
            </w:r>
          </w:p>
        </w:tc>
        <w:tc>
          <w:tcPr>
            <w:tcW w:w="1454" w:type="pct"/>
            <w:gridSpan w:val="2"/>
          </w:tcPr>
          <w:p w14:paraId="5DC2432B" w14:textId="37E14B36" w:rsidR="00CE17AA" w:rsidRPr="00CE17AA" w:rsidRDefault="00CE17AA" w:rsidP="00CE17AA">
            <w:pPr>
              <w:pStyle w:val="NormalWeb"/>
              <w:spacing w:before="2" w:after="2"/>
              <w:jc w:val="center"/>
              <w:rPr>
                <w:rFonts w:ascii="Arial" w:hAnsi="Arial" w:cs="Arial"/>
              </w:rPr>
            </w:pPr>
            <w:r w:rsidRPr="00CE17AA">
              <w:rPr>
                <w:rFonts w:ascii="Arial" w:hAnsi="Arial" w:cs="Arial"/>
              </w:rPr>
              <w:t>Bayelsa</w:t>
            </w:r>
          </w:p>
        </w:tc>
      </w:tr>
      <w:tr w:rsidR="00CE17AA" w:rsidRPr="00CE17AA" w14:paraId="62FE6E6E" w14:textId="77777777" w:rsidTr="00CE17AA">
        <w:trPr>
          <w:jc w:val="center"/>
        </w:trPr>
        <w:tc>
          <w:tcPr>
            <w:tcW w:w="569" w:type="pct"/>
          </w:tcPr>
          <w:p w14:paraId="11AE6BD1" w14:textId="590F24B1" w:rsidR="00CE17AA" w:rsidRPr="00CE17AA" w:rsidRDefault="00CE17AA" w:rsidP="00EB2031">
            <w:pPr>
              <w:pStyle w:val="NormalWeb"/>
              <w:spacing w:before="2" w:after="2"/>
              <w:rPr>
                <w:rFonts w:ascii="Arial" w:hAnsi="Arial" w:cs="Arial"/>
              </w:rPr>
            </w:pPr>
            <w:r>
              <w:rPr>
                <w:rFonts w:ascii="Arial" w:hAnsi="Arial" w:cs="Arial"/>
              </w:rPr>
              <w:t>Year</w:t>
            </w:r>
          </w:p>
        </w:tc>
        <w:tc>
          <w:tcPr>
            <w:tcW w:w="724" w:type="pct"/>
          </w:tcPr>
          <w:p w14:paraId="42721786"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6B6ADE08" w14:textId="3DDE8F59"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1E2E2618"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7DD4C014" w14:textId="72268915"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92" w:type="pct"/>
          </w:tcPr>
          <w:p w14:paraId="77350F86"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65D9C41D" w14:textId="49A17779"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5C5B8143"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6E456852" w14:textId="3D7AD69C"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24" w:type="pct"/>
          </w:tcPr>
          <w:p w14:paraId="75D17CB8"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77BFFF2E" w14:textId="00AA8B7E"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4B671393"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1BAD8F69" w14:textId="4C66D132"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r>
      <w:tr w:rsidR="00CE17AA" w:rsidRPr="00CE17AA" w14:paraId="1F9D40D8" w14:textId="77777777" w:rsidTr="00CE17AA">
        <w:trPr>
          <w:jc w:val="center"/>
        </w:trPr>
        <w:tc>
          <w:tcPr>
            <w:tcW w:w="569" w:type="pct"/>
          </w:tcPr>
          <w:p w14:paraId="5EDBA183" w14:textId="57528798" w:rsidR="00CE17AA" w:rsidRPr="00CE17AA" w:rsidRDefault="00CE17AA" w:rsidP="00EB2031">
            <w:pPr>
              <w:pStyle w:val="NormalWeb"/>
              <w:spacing w:before="2" w:after="2"/>
              <w:rPr>
                <w:rFonts w:ascii="Arial" w:hAnsi="Arial" w:cs="Arial"/>
              </w:rPr>
            </w:pPr>
            <w:r w:rsidRPr="00CE17AA">
              <w:rPr>
                <w:rFonts w:ascii="Arial" w:hAnsi="Arial" w:cs="Arial"/>
              </w:rPr>
              <w:t>2010</w:t>
            </w:r>
          </w:p>
        </w:tc>
        <w:tc>
          <w:tcPr>
            <w:tcW w:w="724" w:type="pct"/>
          </w:tcPr>
          <w:p w14:paraId="2AD00A43" w14:textId="1428AB50" w:rsidR="00CE17AA" w:rsidRPr="00CE17AA" w:rsidRDefault="00CE17AA" w:rsidP="00CE17AA">
            <w:pPr>
              <w:pStyle w:val="NormalWeb"/>
              <w:spacing w:before="2" w:after="2"/>
              <w:jc w:val="center"/>
              <w:rPr>
                <w:rFonts w:ascii="Arial" w:hAnsi="Arial" w:cs="Arial"/>
              </w:rPr>
            </w:pPr>
            <w:r w:rsidRPr="00CE17AA">
              <w:rPr>
                <w:rFonts w:ascii="Arial" w:hAnsi="Arial" w:cs="Arial"/>
              </w:rPr>
              <w:t>38,527</w:t>
            </w:r>
          </w:p>
        </w:tc>
        <w:tc>
          <w:tcPr>
            <w:tcW w:w="731" w:type="pct"/>
          </w:tcPr>
          <w:p w14:paraId="0A2686DB" w14:textId="7740CE69" w:rsidR="00CE17AA" w:rsidRPr="00CE17AA" w:rsidRDefault="00CE17AA" w:rsidP="00CE17AA">
            <w:pPr>
              <w:pStyle w:val="NormalWeb"/>
              <w:spacing w:before="2" w:after="2"/>
              <w:jc w:val="center"/>
              <w:rPr>
                <w:rFonts w:ascii="Arial" w:hAnsi="Arial" w:cs="Arial"/>
              </w:rPr>
            </w:pPr>
            <w:r w:rsidRPr="00CE17AA">
              <w:rPr>
                <w:rFonts w:ascii="Arial" w:hAnsi="Arial" w:cs="Arial"/>
              </w:rPr>
              <w:t>5,441</w:t>
            </w:r>
          </w:p>
        </w:tc>
        <w:tc>
          <w:tcPr>
            <w:tcW w:w="792" w:type="pct"/>
          </w:tcPr>
          <w:p w14:paraId="03104339" w14:textId="0C3B94BF" w:rsidR="00CE17AA" w:rsidRPr="00CE17AA" w:rsidRDefault="00CE17AA" w:rsidP="00CE17AA">
            <w:pPr>
              <w:pStyle w:val="NormalWeb"/>
              <w:spacing w:before="2" w:after="2"/>
              <w:jc w:val="center"/>
              <w:rPr>
                <w:rFonts w:ascii="Arial" w:hAnsi="Arial" w:cs="Arial"/>
              </w:rPr>
            </w:pPr>
            <w:r w:rsidRPr="00CE17AA">
              <w:rPr>
                <w:rFonts w:ascii="Arial" w:hAnsi="Arial" w:cs="Arial"/>
              </w:rPr>
              <w:t>199,067</w:t>
            </w:r>
          </w:p>
        </w:tc>
        <w:tc>
          <w:tcPr>
            <w:tcW w:w="731" w:type="pct"/>
          </w:tcPr>
          <w:p w14:paraId="21EF9602" w14:textId="64C62DF0" w:rsidR="00CE17AA" w:rsidRPr="00CE17AA" w:rsidRDefault="00CE17AA" w:rsidP="00CE17AA">
            <w:pPr>
              <w:pStyle w:val="NormalWeb"/>
              <w:spacing w:before="2" w:after="2"/>
              <w:jc w:val="center"/>
              <w:rPr>
                <w:rFonts w:ascii="Arial" w:hAnsi="Arial" w:cs="Arial"/>
              </w:rPr>
            </w:pPr>
            <w:r w:rsidRPr="00CE17AA">
              <w:rPr>
                <w:rFonts w:ascii="Arial" w:hAnsi="Arial" w:cs="Arial"/>
              </w:rPr>
              <w:t>107,125</w:t>
            </w:r>
          </w:p>
        </w:tc>
        <w:tc>
          <w:tcPr>
            <w:tcW w:w="724" w:type="pct"/>
          </w:tcPr>
          <w:p w14:paraId="7F5A9C53" w14:textId="21DD4620" w:rsidR="00CE17AA" w:rsidRPr="00CE17AA" w:rsidRDefault="00CE17AA" w:rsidP="00CE17AA">
            <w:pPr>
              <w:pStyle w:val="NormalWeb"/>
              <w:spacing w:before="2" w:after="2"/>
              <w:jc w:val="center"/>
              <w:rPr>
                <w:rFonts w:ascii="Arial" w:hAnsi="Arial" w:cs="Arial"/>
              </w:rPr>
            </w:pPr>
            <w:r w:rsidRPr="00CE17AA">
              <w:rPr>
                <w:rFonts w:ascii="Arial" w:hAnsi="Arial" w:cs="Arial"/>
              </w:rPr>
              <w:t>105,147</w:t>
            </w:r>
          </w:p>
        </w:tc>
        <w:tc>
          <w:tcPr>
            <w:tcW w:w="731" w:type="pct"/>
          </w:tcPr>
          <w:p w14:paraId="522C0593" w14:textId="40D80FB8" w:rsidR="00CE17AA" w:rsidRPr="00CE17AA" w:rsidRDefault="00CE17AA" w:rsidP="00CE17AA">
            <w:pPr>
              <w:pStyle w:val="NormalWeb"/>
              <w:spacing w:before="2" w:after="2"/>
              <w:jc w:val="center"/>
              <w:rPr>
                <w:rFonts w:ascii="Arial" w:hAnsi="Arial" w:cs="Arial"/>
              </w:rPr>
            </w:pPr>
            <w:r w:rsidRPr="00CE17AA">
              <w:rPr>
                <w:rFonts w:ascii="Arial" w:hAnsi="Arial" w:cs="Arial"/>
              </w:rPr>
              <w:t>65,528</w:t>
            </w:r>
          </w:p>
        </w:tc>
      </w:tr>
      <w:tr w:rsidR="00CE17AA" w:rsidRPr="00CE17AA" w14:paraId="343E1FBE" w14:textId="77777777" w:rsidTr="00CE17AA">
        <w:trPr>
          <w:jc w:val="center"/>
        </w:trPr>
        <w:tc>
          <w:tcPr>
            <w:tcW w:w="569" w:type="pct"/>
          </w:tcPr>
          <w:p w14:paraId="6ECD717D" w14:textId="63C7EAC9" w:rsidR="00CE17AA" w:rsidRPr="00CE17AA" w:rsidRDefault="00CE17AA" w:rsidP="00EB2031">
            <w:pPr>
              <w:pStyle w:val="NormalWeb"/>
              <w:spacing w:before="2" w:after="2"/>
              <w:rPr>
                <w:rFonts w:ascii="Arial" w:hAnsi="Arial" w:cs="Arial"/>
              </w:rPr>
            </w:pPr>
            <w:r w:rsidRPr="00CE17AA">
              <w:rPr>
                <w:rFonts w:ascii="Arial" w:hAnsi="Arial" w:cs="Arial"/>
              </w:rPr>
              <w:t>2011</w:t>
            </w:r>
          </w:p>
        </w:tc>
        <w:tc>
          <w:tcPr>
            <w:tcW w:w="724" w:type="pct"/>
          </w:tcPr>
          <w:p w14:paraId="5A87AC23" w14:textId="07870367" w:rsidR="00CE17AA" w:rsidRPr="00CE17AA" w:rsidRDefault="00CE17AA" w:rsidP="00CE17AA">
            <w:pPr>
              <w:pStyle w:val="NormalWeb"/>
              <w:spacing w:before="2" w:after="2"/>
              <w:jc w:val="center"/>
              <w:rPr>
                <w:rFonts w:ascii="Arial" w:hAnsi="Arial" w:cs="Arial"/>
              </w:rPr>
            </w:pPr>
            <w:r w:rsidRPr="00CE17AA">
              <w:rPr>
                <w:rFonts w:ascii="Arial" w:hAnsi="Arial" w:cs="Arial"/>
              </w:rPr>
              <w:t>48,169</w:t>
            </w:r>
          </w:p>
        </w:tc>
        <w:tc>
          <w:tcPr>
            <w:tcW w:w="731" w:type="pct"/>
          </w:tcPr>
          <w:p w14:paraId="21E3B1EE" w14:textId="619A4CD9" w:rsidR="00CE17AA" w:rsidRPr="00CE17AA" w:rsidRDefault="00CE17AA" w:rsidP="00CE17AA">
            <w:pPr>
              <w:pStyle w:val="NormalWeb"/>
              <w:spacing w:before="2" w:after="2"/>
              <w:jc w:val="center"/>
              <w:rPr>
                <w:rFonts w:ascii="Arial" w:hAnsi="Arial" w:cs="Arial"/>
              </w:rPr>
            </w:pPr>
            <w:r w:rsidRPr="00CE17AA">
              <w:rPr>
                <w:rFonts w:ascii="Arial" w:hAnsi="Arial" w:cs="Arial"/>
              </w:rPr>
              <w:t>4,737</w:t>
            </w:r>
          </w:p>
        </w:tc>
        <w:tc>
          <w:tcPr>
            <w:tcW w:w="792" w:type="pct"/>
          </w:tcPr>
          <w:p w14:paraId="372DAA90" w14:textId="77831724" w:rsidR="00CE17AA" w:rsidRPr="00CE17AA" w:rsidRDefault="00CE17AA" w:rsidP="00CE17AA">
            <w:pPr>
              <w:pStyle w:val="NormalWeb"/>
              <w:spacing w:before="2" w:after="2"/>
              <w:jc w:val="center"/>
              <w:rPr>
                <w:rFonts w:ascii="Arial" w:hAnsi="Arial" w:cs="Arial"/>
              </w:rPr>
            </w:pPr>
            <w:r w:rsidRPr="00CE17AA">
              <w:rPr>
                <w:rFonts w:ascii="Arial" w:hAnsi="Arial" w:cs="Arial"/>
              </w:rPr>
              <w:t>240,383</w:t>
            </w:r>
          </w:p>
        </w:tc>
        <w:tc>
          <w:tcPr>
            <w:tcW w:w="731" w:type="pct"/>
          </w:tcPr>
          <w:p w14:paraId="6DF52B81" w14:textId="7B1BB902" w:rsidR="00CE17AA" w:rsidRPr="00CE17AA" w:rsidRDefault="00CE17AA" w:rsidP="00CE17AA">
            <w:pPr>
              <w:pStyle w:val="NormalWeb"/>
              <w:spacing w:before="2" w:after="2"/>
              <w:jc w:val="center"/>
              <w:rPr>
                <w:rFonts w:ascii="Arial" w:hAnsi="Arial" w:cs="Arial"/>
              </w:rPr>
            </w:pPr>
            <w:r w:rsidRPr="00CE17AA">
              <w:rPr>
                <w:rFonts w:ascii="Arial" w:hAnsi="Arial" w:cs="Arial"/>
              </w:rPr>
              <w:t>129,615</w:t>
            </w:r>
          </w:p>
        </w:tc>
        <w:tc>
          <w:tcPr>
            <w:tcW w:w="724" w:type="pct"/>
          </w:tcPr>
          <w:p w14:paraId="7192E1DB" w14:textId="71958885" w:rsidR="00CE17AA" w:rsidRPr="00CE17AA" w:rsidRDefault="00CE17AA" w:rsidP="00CE17AA">
            <w:pPr>
              <w:pStyle w:val="NormalWeb"/>
              <w:spacing w:before="2" w:after="2"/>
              <w:jc w:val="center"/>
              <w:rPr>
                <w:rFonts w:ascii="Arial" w:hAnsi="Arial" w:cs="Arial"/>
              </w:rPr>
            </w:pPr>
            <w:r w:rsidRPr="00CE17AA">
              <w:rPr>
                <w:rFonts w:ascii="Arial" w:hAnsi="Arial" w:cs="Arial"/>
              </w:rPr>
              <w:t>161,633</w:t>
            </w:r>
          </w:p>
        </w:tc>
        <w:tc>
          <w:tcPr>
            <w:tcW w:w="731" w:type="pct"/>
          </w:tcPr>
          <w:p w14:paraId="2AEF8147" w14:textId="10A34DD5" w:rsidR="00CE17AA" w:rsidRPr="00CE17AA" w:rsidRDefault="00CE17AA" w:rsidP="00CE17AA">
            <w:pPr>
              <w:pStyle w:val="NormalWeb"/>
              <w:spacing w:before="2" w:after="2"/>
              <w:jc w:val="center"/>
              <w:rPr>
                <w:rFonts w:ascii="Arial" w:hAnsi="Arial" w:cs="Arial"/>
              </w:rPr>
            </w:pPr>
            <w:r w:rsidRPr="00CE17AA">
              <w:rPr>
                <w:rFonts w:ascii="Arial" w:hAnsi="Arial" w:cs="Arial"/>
              </w:rPr>
              <w:t>101,537</w:t>
            </w:r>
          </w:p>
        </w:tc>
      </w:tr>
      <w:tr w:rsidR="00CE17AA" w:rsidRPr="00CE17AA" w14:paraId="72CF3472" w14:textId="77777777" w:rsidTr="00CE17AA">
        <w:trPr>
          <w:jc w:val="center"/>
        </w:trPr>
        <w:tc>
          <w:tcPr>
            <w:tcW w:w="569" w:type="pct"/>
          </w:tcPr>
          <w:p w14:paraId="4E549078" w14:textId="4046E691" w:rsidR="00CE17AA" w:rsidRPr="00CE17AA" w:rsidRDefault="00CE17AA" w:rsidP="00EB2031">
            <w:pPr>
              <w:pStyle w:val="NormalWeb"/>
              <w:spacing w:before="2" w:after="2"/>
              <w:rPr>
                <w:rFonts w:ascii="Arial" w:hAnsi="Arial" w:cs="Arial"/>
              </w:rPr>
            </w:pPr>
            <w:r w:rsidRPr="00CE17AA">
              <w:rPr>
                <w:rFonts w:ascii="Arial" w:hAnsi="Arial" w:cs="Arial"/>
              </w:rPr>
              <w:t>2012</w:t>
            </w:r>
          </w:p>
        </w:tc>
        <w:tc>
          <w:tcPr>
            <w:tcW w:w="724" w:type="pct"/>
          </w:tcPr>
          <w:p w14:paraId="1D371A45" w14:textId="7B082DAD" w:rsidR="00CE17AA" w:rsidRPr="00CE17AA" w:rsidRDefault="00CE17AA" w:rsidP="00CE17AA">
            <w:pPr>
              <w:pStyle w:val="NormalWeb"/>
              <w:spacing w:before="2" w:after="2"/>
              <w:jc w:val="center"/>
              <w:rPr>
                <w:rFonts w:ascii="Arial" w:hAnsi="Arial" w:cs="Arial"/>
              </w:rPr>
            </w:pPr>
            <w:r w:rsidRPr="00CE17AA">
              <w:rPr>
                <w:rFonts w:ascii="Arial" w:hAnsi="Arial" w:cs="Arial"/>
              </w:rPr>
              <w:t>53,463</w:t>
            </w:r>
          </w:p>
        </w:tc>
        <w:tc>
          <w:tcPr>
            <w:tcW w:w="731" w:type="pct"/>
          </w:tcPr>
          <w:p w14:paraId="65F79843" w14:textId="03CD405C" w:rsidR="00CE17AA" w:rsidRPr="00CE17AA" w:rsidRDefault="00CE17AA" w:rsidP="00CE17AA">
            <w:pPr>
              <w:pStyle w:val="NormalWeb"/>
              <w:spacing w:before="2" w:after="2"/>
              <w:jc w:val="center"/>
              <w:rPr>
                <w:rFonts w:ascii="Arial" w:hAnsi="Arial" w:cs="Arial"/>
              </w:rPr>
            </w:pPr>
            <w:r w:rsidRPr="00CE17AA">
              <w:rPr>
                <w:rFonts w:ascii="Arial" w:hAnsi="Arial" w:cs="Arial"/>
              </w:rPr>
              <w:t>4,227</w:t>
            </w:r>
          </w:p>
        </w:tc>
        <w:tc>
          <w:tcPr>
            <w:tcW w:w="792" w:type="pct"/>
          </w:tcPr>
          <w:p w14:paraId="66994251" w14:textId="742ABC4C" w:rsidR="00CE17AA" w:rsidRPr="00CE17AA" w:rsidRDefault="00CE17AA" w:rsidP="00CE17AA">
            <w:pPr>
              <w:pStyle w:val="NormalWeb"/>
              <w:spacing w:before="2" w:after="2"/>
              <w:jc w:val="center"/>
              <w:rPr>
                <w:rFonts w:ascii="Arial" w:hAnsi="Arial" w:cs="Arial"/>
              </w:rPr>
            </w:pPr>
            <w:r w:rsidRPr="00CE17AA">
              <w:rPr>
                <w:rFonts w:ascii="Arial" w:hAnsi="Arial" w:cs="Arial"/>
              </w:rPr>
              <w:t>254,215</w:t>
            </w:r>
          </w:p>
        </w:tc>
        <w:tc>
          <w:tcPr>
            <w:tcW w:w="731" w:type="pct"/>
          </w:tcPr>
          <w:p w14:paraId="2092008F" w14:textId="26869643" w:rsidR="00CE17AA" w:rsidRPr="00CE17AA" w:rsidRDefault="00CE17AA" w:rsidP="00CE17AA">
            <w:pPr>
              <w:pStyle w:val="NormalWeb"/>
              <w:spacing w:before="2" w:after="2"/>
              <w:jc w:val="center"/>
              <w:rPr>
                <w:rFonts w:ascii="Arial" w:hAnsi="Arial" w:cs="Arial"/>
              </w:rPr>
            </w:pPr>
            <w:r w:rsidRPr="00CE17AA">
              <w:rPr>
                <w:rFonts w:ascii="Arial" w:hAnsi="Arial" w:cs="Arial"/>
              </w:rPr>
              <w:t>142,761</w:t>
            </w:r>
          </w:p>
        </w:tc>
        <w:tc>
          <w:tcPr>
            <w:tcW w:w="724" w:type="pct"/>
          </w:tcPr>
          <w:p w14:paraId="1C2C2D57" w14:textId="143F5C7D" w:rsidR="00CE17AA" w:rsidRPr="00CE17AA" w:rsidRDefault="00CE17AA" w:rsidP="00CE17AA">
            <w:pPr>
              <w:pStyle w:val="NormalWeb"/>
              <w:spacing w:before="2" w:after="2"/>
              <w:jc w:val="center"/>
              <w:rPr>
                <w:rFonts w:ascii="Arial" w:hAnsi="Arial" w:cs="Arial"/>
              </w:rPr>
            </w:pPr>
            <w:r w:rsidRPr="00CE17AA">
              <w:rPr>
                <w:rFonts w:ascii="Arial" w:hAnsi="Arial" w:cs="Arial"/>
              </w:rPr>
              <w:t>158,361</w:t>
            </w:r>
          </w:p>
        </w:tc>
        <w:tc>
          <w:tcPr>
            <w:tcW w:w="731" w:type="pct"/>
          </w:tcPr>
          <w:p w14:paraId="65D42FB4" w14:textId="5DCBDA36" w:rsidR="00CE17AA" w:rsidRPr="00CE17AA" w:rsidRDefault="00CE17AA" w:rsidP="00CE17AA">
            <w:pPr>
              <w:pStyle w:val="NormalWeb"/>
              <w:spacing w:before="2" w:after="2"/>
              <w:jc w:val="center"/>
              <w:rPr>
                <w:rFonts w:ascii="Arial" w:hAnsi="Arial" w:cs="Arial"/>
              </w:rPr>
            </w:pPr>
            <w:r w:rsidRPr="00CE17AA">
              <w:rPr>
                <w:rFonts w:ascii="Arial" w:hAnsi="Arial" w:cs="Arial"/>
              </w:rPr>
              <w:t>105,073</w:t>
            </w:r>
          </w:p>
        </w:tc>
      </w:tr>
      <w:tr w:rsidR="00CE17AA" w:rsidRPr="00CE17AA" w14:paraId="157E7C77" w14:textId="77777777" w:rsidTr="00CE17AA">
        <w:trPr>
          <w:jc w:val="center"/>
        </w:trPr>
        <w:tc>
          <w:tcPr>
            <w:tcW w:w="569" w:type="pct"/>
          </w:tcPr>
          <w:p w14:paraId="121BF520" w14:textId="5D940835" w:rsidR="00CE17AA" w:rsidRPr="00CE17AA" w:rsidRDefault="00CE17AA" w:rsidP="00EB2031">
            <w:pPr>
              <w:pStyle w:val="NormalWeb"/>
              <w:spacing w:before="2" w:after="2"/>
              <w:rPr>
                <w:rFonts w:ascii="Arial" w:hAnsi="Arial" w:cs="Arial"/>
              </w:rPr>
            </w:pPr>
            <w:r w:rsidRPr="00CE17AA">
              <w:rPr>
                <w:rFonts w:ascii="Arial" w:hAnsi="Arial" w:cs="Arial"/>
              </w:rPr>
              <w:t>2013</w:t>
            </w:r>
          </w:p>
        </w:tc>
        <w:tc>
          <w:tcPr>
            <w:tcW w:w="724" w:type="pct"/>
          </w:tcPr>
          <w:p w14:paraId="55977BE7" w14:textId="130BC4B4" w:rsidR="00CE17AA" w:rsidRPr="00CE17AA" w:rsidRDefault="00CE17AA" w:rsidP="00CE17AA">
            <w:pPr>
              <w:pStyle w:val="NormalWeb"/>
              <w:spacing w:before="2" w:after="2"/>
              <w:jc w:val="center"/>
              <w:rPr>
                <w:rFonts w:ascii="Arial" w:hAnsi="Arial" w:cs="Arial"/>
              </w:rPr>
            </w:pPr>
            <w:r w:rsidRPr="00CE17AA">
              <w:rPr>
                <w:rFonts w:ascii="Arial" w:hAnsi="Arial" w:cs="Arial"/>
              </w:rPr>
              <w:t>61,088</w:t>
            </w:r>
          </w:p>
        </w:tc>
        <w:tc>
          <w:tcPr>
            <w:tcW w:w="731" w:type="pct"/>
          </w:tcPr>
          <w:p w14:paraId="2F793E5C" w14:textId="4585F300" w:rsidR="00CE17AA" w:rsidRPr="00CE17AA" w:rsidRDefault="00CE17AA" w:rsidP="00CE17AA">
            <w:pPr>
              <w:pStyle w:val="NormalWeb"/>
              <w:spacing w:before="2" w:after="2"/>
              <w:jc w:val="center"/>
              <w:rPr>
                <w:rFonts w:ascii="Arial" w:hAnsi="Arial" w:cs="Arial"/>
              </w:rPr>
            </w:pPr>
            <w:r w:rsidRPr="00CE17AA">
              <w:rPr>
                <w:rFonts w:ascii="Arial" w:hAnsi="Arial" w:cs="Arial"/>
              </w:rPr>
              <w:t>6,727</w:t>
            </w:r>
          </w:p>
        </w:tc>
        <w:tc>
          <w:tcPr>
            <w:tcW w:w="792" w:type="pct"/>
          </w:tcPr>
          <w:p w14:paraId="595A2969" w14:textId="3EC81706" w:rsidR="00CE17AA" w:rsidRPr="00CE17AA" w:rsidRDefault="00CE17AA" w:rsidP="00CE17AA">
            <w:pPr>
              <w:pStyle w:val="NormalWeb"/>
              <w:spacing w:before="2" w:after="2"/>
              <w:jc w:val="center"/>
              <w:rPr>
                <w:rFonts w:ascii="Arial" w:hAnsi="Arial" w:cs="Arial"/>
              </w:rPr>
            </w:pPr>
            <w:r w:rsidRPr="00CE17AA">
              <w:rPr>
                <w:rFonts w:ascii="Arial" w:hAnsi="Arial" w:cs="Arial"/>
              </w:rPr>
              <w:t>294,692</w:t>
            </w:r>
          </w:p>
        </w:tc>
        <w:tc>
          <w:tcPr>
            <w:tcW w:w="731" w:type="pct"/>
          </w:tcPr>
          <w:p w14:paraId="72F380C0" w14:textId="1D281AB9" w:rsidR="00CE17AA" w:rsidRPr="00CE17AA" w:rsidRDefault="00CE17AA" w:rsidP="00CE17AA">
            <w:pPr>
              <w:pStyle w:val="NormalWeb"/>
              <w:spacing w:before="2" w:after="2"/>
              <w:jc w:val="center"/>
              <w:rPr>
                <w:rFonts w:ascii="Arial" w:hAnsi="Arial" w:cs="Arial"/>
              </w:rPr>
            </w:pPr>
            <w:r w:rsidRPr="00CE17AA">
              <w:rPr>
                <w:rFonts w:ascii="Arial" w:hAnsi="Arial" w:cs="Arial"/>
              </w:rPr>
              <w:t>180,787</w:t>
            </w:r>
          </w:p>
        </w:tc>
        <w:tc>
          <w:tcPr>
            <w:tcW w:w="724" w:type="pct"/>
          </w:tcPr>
          <w:p w14:paraId="029F3D44" w14:textId="2695E102" w:rsidR="00CE17AA" w:rsidRPr="00CE17AA" w:rsidRDefault="00CE17AA" w:rsidP="00CE17AA">
            <w:pPr>
              <w:pStyle w:val="NormalWeb"/>
              <w:spacing w:before="2" w:after="2"/>
              <w:jc w:val="center"/>
              <w:rPr>
                <w:rFonts w:ascii="Arial" w:hAnsi="Arial" w:cs="Arial"/>
              </w:rPr>
            </w:pPr>
            <w:r w:rsidRPr="00CE17AA">
              <w:rPr>
                <w:rFonts w:ascii="Arial" w:hAnsi="Arial" w:cs="Arial"/>
              </w:rPr>
              <w:t>187,991</w:t>
            </w:r>
          </w:p>
        </w:tc>
        <w:tc>
          <w:tcPr>
            <w:tcW w:w="731" w:type="pct"/>
          </w:tcPr>
          <w:p w14:paraId="31FE0264" w14:textId="5EE5CD3C" w:rsidR="00CE17AA" w:rsidRPr="00CE17AA" w:rsidRDefault="00CE17AA" w:rsidP="00CE17AA">
            <w:pPr>
              <w:pStyle w:val="NormalWeb"/>
              <w:spacing w:before="2" w:after="2"/>
              <w:jc w:val="center"/>
              <w:rPr>
                <w:rFonts w:ascii="Arial" w:hAnsi="Arial" w:cs="Arial"/>
              </w:rPr>
            </w:pPr>
            <w:r w:rsidRPr="00CE17AA">
              <w:rPr>
                <w:rFonts w:ascii="Arial" w:hAnsi="Arial" w:cs="Arial"/>
              </w:rPr>
              <w:t>121,741</w:t>
            </w:r>
          </w:p>
        </w:tc>
      </w:tr>
      <w:tr w:rsidR="00CE17AA" w:rsidRPr="00CE17AA" w14:paraId="48AC9C0A" w14:textId="77777777" w:rsidTr="00CE17AA">
        <w:trPr>
          <w:jc w:val="center"/>
        </w:trPr>
        <w:tc>
          <w:tcPr>
            <w:tcW w:w="569" w:type="pct"/>
          </w:tcPr>
          <w:p w14:paraId="3079A185" w14:textId="50219902" w:rsidR="00CE17AA" w:rsidRPr="00CE17AA" w:rsidRDefault="00CE17AA" w:rsidP="00EB2031">
            <w:pPr>
              <w:pStyle w:val="NormalWeb"/>
              <w:spacing w:before="2" w:after="2"/>
              <w:rPr>
                <w:rFonts w:ascii="Arial" w:hAnsi="Arial" w:cs="Arial"/>
              </w:rPr>
            </w:pPr>
            <w:r w:rsidRPr="00CE17AA">
              <w:rPr>
                <w:rFonts w:ascii="Arial" w:hAnsi="Arial" w:cs="Arial"/>
              </w:rPr>
              <w:t>2014</w:t>
            </w:r>
          </w:p>
        </w:tc>
        <w:tc>
          <w:tcPr>
            <w:tcW w:w="724" w:type="pct"/>
          </w:tcPr>
          <w:p w14:paraId="45363F50" w14:textId="33F7BB1E" w:rsidR="00CE17AA" w:rsidRPr="00CE17AA" w:rsidRDefault="00CE17AA" w:rsidP="00CE17AA">
            <w:pPr>
              <w:pStyle w:val="NormalWeb"/>
              <w:spacing w:before="2" w:after="2"/>
              <w:jc w:val="center"/>
              <w:rPr>
                <w:rFonts w:ascii="Arial" w:hAnsi="Arial" w:cs="Arial"/>
              </w:rPr>
            </w:pPr>
            <w:r w:rsidRPr="00CE17AA">
              <w:rPr>
                <w:rFonts w:ascii="Arial" w:hAnsi="Arial" w:cs="Arial"/>
              </w:rPr>
              <w:t>41,634</w:t>
            </w:r>
          </w:p>
        </w:tc>
        <w:tc>
          <w:tcPr>
            <w:tcW w:w="731" w:type="pct"/>
          </w:tcPr>
          <w:p w14:paraId="4D27AB4A" w14:textId="41D23C20" w:rsidR="00CE17AA" w:rsidRPr="00CE17AA" w:rsidRDefault="00CE17AA" w:rsidP="00CE17AA">
            <w:pPr>
              <w:pStyle w:val="NormalWeb"/>
              <w:spacing w:before="2" w:after="2"/>
              <w:jc w:val="center"/>
              <w:rPr>
                <w:rFonts w:ascii="Arial" w:hAnsi="Arial" w:cs="Arial"/>
              </w:rPr>
            </w:pPr>
            <w:r w:rsidRPr="00CE17AA">
              <w:rPr>
                <w:rFonts w:ascii="Arial" w:hAnsi="Arial" w:cs="Arial"/>
              </w:rPr>
              <w:t>4,974</w:t>
            </w:r>
          </w:p>
        </w:tc>
        <w:tc>
          <w:tcPr>
            <w:tcW w:w="792" w:type="pct"/>
          </w:tcPr>
          <w:p w14:paraId="05E31DD0" w14:textId="39596361" w:rsidR="00CE17AA" w:rsidRPr="00CE17AA" w:rsidRDefault="00CE17AA" w:rsidP="00CE17AA">
            <w:pPr>
              <w:pStyle w:val="NormalWeb"/>
              <w:spacing w:before="2" w:after="2"/>
              <w:jc w:val="center"/>
              <w:rPr>
                <w:rFonts w:ascii="Arial" w:hAnsi="Arial" w:cs="Arial"/>
              </w:rPr>
            </w:pPr>
            <w:r w:rsidRPr="00CE17AA">
              <w:rPr>
                <w:rFonts w:ascii="Arial" w:hAnsi="Arial" w:cs="Arial"/>
              </w:rPr>
              <w:t>196,917</w:t>
            </w:r>
          </w:p>
        </w:tc>
        <w:tc>
          <w:tcPr>
            <w:tcW w:w="731" w:type="pct"/>
          </w:tcPr>
          <w:p w14:paraId="74FB6590" w14:textId="35464C37" w:rsidR="00CE17AA" w:rsidRPr="00CE17AA" w:rsidRDefault="00CE17AA" w:rsidP="00CE17AA">
            <w:pPr>
              <w:pStyle w:val="NormalWeb"/>
              <w:spacing w:before="2" w:after="2"/>
              <w:jc w:val="center"/>
              <w:rPr>
                <w:rFonts w:ascii="Arial" w:hAnsi="Arial" w:cs="Arial"/>
              </w:rPr>
            </w:pPr>
            <w:r w:rsidRPr="00CE17AA">
              <w:rPr>
                <w:rFonts w:ascii="Arial" w:hAnsi="Arial" w:cs="Arial"/>
              </w:rPr>
              <w:t>141,747</w:t>
            </w:r>
          </w:p>
        </w:tc>
        <w:tc>
          <w:tcPr>
            <w:tcW w:w="724" w:type="pct"/>
          </w:tcPr>
          <w:p w14:paraId="6B743D92" w14:textId="64E6BADC" w:rsidR="00CE17AA" w:rsidRPr="00CE17AA" w:rsidRDefault="00CE17AA" w:rsidP="00CE17AA">
            <w:pPr>
              <w:pStyle w:val="NormalWeb"/>
              <w:spacing w:before="2" w:after="2"/>
              <w:jc w:val="center"/>
              <w:rPr>
                <w:rFonts w:ascii="Arial" w:hAnsi="Arial" w:cs="Arial"/>
              </w:rPr>
            </w:pPr>
            <w:r w:rsidRPr="00CE17AA">
              <w:rPr>
                <w:rFonts w:ascii="Arial" w:hAnsi="Arial" w:cs="Arial"/>
              </w:rPr>
              <w:t>116,067</w:t>
            </w:r>
          </w:p>
        </w:tc>
        <w:tc>
          <w:tcPr>
            <w:tcW w:w="731" w:type="pct"/>
          </w:tcPr>
          <w:p w14:paraId="656AF868" w14:textId="029B84CF" w:rsidR="00CE17AA" w:rsidRPr="00CE17AA" w:rsidRDefault="00CE17AA" w:rsidP="00CE17AA">
            <w:pPr>
              <w:pStyle w:val="NormalWeb"/>
              <w:spacing w:before="2" w:after="2"/>
              <w:jc w:val="center"/>
              <w:rPr>
                <w:rFonts w:ascii="Arial" w:hAnsi="Arial" w:cs="Arial"/>
              </w:rPr>
            </w:pPr>
            <w:r w:rsidRPr="00CE17AA">
              <w:rPr>
                <w:rFonts w:ascii="Arial" w:hAnsi="Arial" w:cs="Arial"/>
              </w:rPr>
              <w:t>90,667</w:t>
            </w:r>
          </w:p>
        </w:tc>
      </w:tr>
      <w:tr w:rsidR="00CE17AA" w:rsidRPr="00CE17AA" w14:paraId="64C8B5DE" w14:textId="77777777" w:rsidTr="00CE17AA">
        <w:trPr>
          <w:jc w:val="center"/>
        </w:trPr>
        <w:tc>
          <w:tcPr>
            <w:tcW w:w="569" w:type="pct"/>
          </w:tcPr>
          <w:p w14:paraId="20EB0673" w14:textId="5555C6D5" w:rsidR="00CE17AA" w:rsidRPr="00CE17AA" w:rsidRDefault="00CE17AA" w:rsidP="00EB2031">
            <w:pPr>
              <w:pStyle w:val="NormalWeb"/>
              <w:spacing w:before="2" w:after="2"/>
              <w:rPr>
                <w:rFonts w:ascii="Arial" w:hAnsi="Arial" w:cs="Arial"/>
              </w:rPr>
            </w:pPr>
            <w:r w:rsidRPr="00CE17AA">
              <w:rPr>
                <w:rFonts w:ascii="Arial" w:hAnsi="Arial" w:cs="Arial"/>
              </w:rPr>
              <w:t>Total</w:t>
            </w:r>
          </w:p>
        </w:tc>
        <w:tc>
          <w:tcPr>
            <w:tcW w:w="724" w:type="pct"/>
          </w:tcPr>
          <w:p w14:paraId="736322F2" w14:textId="56B9AFEC" w:rsidR="00CE17AA" w:rsidRPr="00CE17AA" w:rsidRDefault="00CE17AA" w:rsidP="00CE17AA">
            <w:pPr>
              <w:pStyle w:val="NormalWeb"/>
              <w:spacing w:before="2" w:after="2"/>
              <w:jc w:val="center"/>
              <w:rPr>
                <w:rFonts w:ascii="Arial" w:hAnsi="Arial" w:cs="Arial"/>
              </w:rPr>
            </w:pPr>
            <w:r w:rsidRPr="00CE17AA">
              <w:rPr>
                <w:rFonts w:ascii="Arial" w:hAnsi="Arial" w:cs="Arial"/>
              </w:rPr>
              <w:t>242,882</w:t>
            </w:r>
          </w:p>
        </w:tc>
        <w:tc>
          <w:tcPr>
            <w:tcW w:w="731" w:type="pct"/>
          </w:tcPr>
          <w:p w14:paraId="3D408E75" w14:textId="2C9EC2B5" w:rsidR="00CE17AA" w:rsidRPr="00CE17AA" w:rsidRDefault="00CE17AA" w:rsidP="00CE17AA">
            <w:pPr>
              <w:pStyle w:val="NormalWeb"/>
              <w:spacing w:before="2" w:after="2"/>
              <w:jc w:val="center"/>
              <w:rPr>
                <w:rFonts w:ascii="Arial" w:hAnsi="Arial" w:cs="Arial"/>
              </w:rPr>
            </w:pPr>
            <w:r w:rsidRPr="00CE17AA">
              <w:rPr>
                <w:rFonts w:ascii="Arial" w:hAnsi="Arial" w:cs="Arial"/>
              </w:rPr>
              <w:t>26,107</w:t>
            </w:r>
          </w:p>
        </w:tc>
        <w:tc>
          <w:tcPr>
            <w:tcW w:w="792" w:type="pct"/>
          </w:tcPr>
          <w:p w14:paraId="70A5F1BF" w14:textId="61A068A7" w:rsidR="00CE17AA" w:rsidRPr="00CE17AA" w:rsidRDefault="00CE17AA" w:rsidP="00CE17AA">
            <w:pPr>
              <w:pStyle w:val="NormalWeb"/>
              <w:spacing w:before="2" w:after="2"/>
              <w:jc w:val="center"/>
              <w:rPr>
                <w:rFonts w:ascii="Arial" w:hAnsi="Arial" w:cs="Arial"/>
              </w:rPr>
            </w:pPr>
            <w:r w:rsidRPr="00CE17AA">
              <w:rPr>
                <w:rFonts w:ascii="Arial" w:hAnsi="Arial" w:cs="Arial"/>
              </w:rPr>
              <w:t>1,185,274</w:t>
            </w:r>
          </w:p>
        </w:tc>
        <w:tc>
          <w:tcPr>
            <w:tcW w:w="731" w:type="pct"/>
          </w:tcPr>
          <w:p w14:paraId="29382506" w14:textId="61DBB2C5" w:rsidR="00CE17AA" w:rsidRPr="00CE17AA" w:rsidRDefault="00CE17AA" w:rsidP="00CE17AA">
            <w:pPr>
              <w:pStyle w:val="NormalWeb"/>
              <w:spacing w:before="2" w:after="2"/>
              <w:jc w:val="center"/>
              <w:rPr>
                <w:rFonts w:ascii="Arial" w:hAnsi="Arial" w:cs="Arial"/>
              </w:rPr>
            </w:pPr>
            <w:r w:rsidRPr="00CE17AA">
              <w:rPr>
                <w:rFonts w:ascii="Arial" w:hAnsi="Arial" w:cs="Arial"/>
              </w:rPr>
              <w:t>702,035</w:t>
            </w:r>
          </w:p>
        </w:tc>
        <w:tc>
          <w:tcPr>
            <w:tcW w:w="724" w:type="pct"/>
          </w:tcPr>
          <w:p w14:paraId="69F11BBD" w14:textId="4466232E" w:rsidR="00CE17AA" w:rsidRPr="00CE17AA" w:rsidRDefault="00CE17AA" w:rsidP="00CE17AA">
            <w:pPr>
              <w:pStyle w:val="NormalWeb"/>
              <w:spacing w:before="2" w:after="2"/>
              <w:jc w:val="center"/>
              <w:rPr>
                <w:rFonts w:ascii="Arial" w:hAnsi="Arial" w:cs="Arial"/>
              </w:rPr>
            </w:pPr>
            <w:r w:rsidRPr="00CE17AA">
              <w:rPr>
                <w:rFonts w:ascii="Arial" w:hAnsi="Arial" w:cs="Arial"/>
              </w:rPr>
              <w:t>729,199</w:t>
            </w:r>
          </w:p>
        </w:tc>
        <w:tc>
          <w:tcPr>
            <w:tcW w:w="731" w:type="pct"/>
          </w:tcPr>
          <w:p w14:paraId="61C20337" w14:textId="1D607FF8" w:rsidR="00CE17AA" w:rsidRPr="00CE17AA" w:rsidRDefault="00CE17AA" w:rsidP="00CE17AA">
            <w:pPr>
              <w:pStyle w:val="NormalWeb"/>
              <w:spacing w:before="2" w:after="2"/>
              <w:jc w:val="center"/>
              <w:rPr>
                <w:rFonts w:ascii="Arial" w:hAnsi="Arial" w:cs="Arial"/>
              </w:rPr>
            </w:pPr>
            <w:r w:rsidRPr="00CE17AA">
              <w:rPr>
                <w:rFonts w:ascii="Arial" w:hAnsi="Arial" w:cs="Arial"/>
              </w:rPr>
              <w:t>484,546</w:t>
            </w:r>
          </w:p>
        </w:tc>
      </w:tr>
    </w:tbl>
    <w:p w14:paraId="2C06FE6E" w14:textId="77777777" w:rsidR="00EB2031" w:rsidRPr="00EB2031" w:rsidRDefault="00EB2031" w:rsidP="00EB2031">
      <w:pPr>
        <w:pStyle w:val="NormalWeb"/>
        <w:spacing w:before="2" w:after="2"/>
        <w:rPr>
          <w:rFonts w:ascii="Arial" w:hAnsi="Arial" w:cs="Arial"/>
        </w:rPr>
      </w:pPr>
    </w:p>
    <w:tbl>
      <w:tblPr>
        <w:tblStyle w:val="TableGrid"/>
        <w:tblW w:w="5000" w:type="pct"/>
        <w:jc w:val="center"/>
        <w:tblLook w:val="04A0" w:firstRow="1" w:lastRow="0" w:firstColumn="1" w:lastColumn="0" w:noHBand="0" w:noVBand="1"/>
      </w:tblPr>
      <w:tblGrid>
        <w:gridCol w:w="1055"/>
        <w:gridCol w:w="1344"/>
        <w:gridCol w:w="1357"/>
        <w:gridCol w:w="1470"/>
        <w:gridCol w:w="1357"/>
        <w:gridCol w:w="1344"/>
        <w:gridCol w:w="1353"/>
      </w:tblGrid>
      <w:tr w:rsidR="00CE17AA" w:rsidRPr="00CE17AA" w14:paraId="012F486F" w14:textId="77777777" w:rsidTr="00CE17AA">
        <w:trPr>
          <w:jc w:val="center"/>
        </w:trPr>
        <w:tc>
          <w:tcPr>
            <w:tcW w:w="568" w:type="pct"/>
          </w:tcPr>
          <w:p w14:paraId="3842BAD4" w14:textId="77777777" w:rsidR="00CE17AA" w:rsidRPr="00CE17AA" w:rsidRDefault="00CE17AA" w:rsidP="00CE17AA">
            <w:pPr>
              <w:pStyle w:val="NormalWeb"/>
              <w:spacing w:before="2" w:after="2"/>
              <w:rPr>
                <w:rFonts w:ascii="Arial" w:hAnsi="Arial" w:cs="Arial"/>
              </w:rPr>
            </w:pPr>
          </w:p>
        </w:tc>
        <w:tc>
          <w:tcPr>
            <w:tcW w:w="1455" w:type="pct"/>
            <w:gridSpan w:val="2"/>
          </w:tcPr>
          <w:p w14:paraId="73063127" w14:textId="604F2CFC" w:rsidR="00CE17AA" w:rsidRPr="00CE17AA" w:rsidRDefault="00CE17AA" w:rsidP="00CE17AA">
            <w:pPr>
              <w:pStyle w:val="NormalWeb"/>
              <w:spacing w:before="2" w:after="2"/>
              <w:jc w:val="center"/>
              <w:rPr>
                <w:rFonts w:ascii="Arial" w:hAnsi="Arial" w:cs="Arial"/>
              </w:rPr>
            </w:pPr>
            <w:r w:rsidRPr="00CE17AA">
              <w:rPr>
                <w:rFonts w:ascii="Arial" w:hAnsi="Arial" w:cs="Arial"/>
              </w:rPr>
              <w:t>Cross River</w:t>
            </w:r>
          </w:p>
        </w:tc>
        <w:tc>
          <w:tcPr>
            <w:tcW w:w="1523" w:type="pct"/>
            <w:gridSpan w:val="2"/>
          </w:tcPr>
          <w:p w14:paraId="4F9892B6" w14:textId="3F19098C" w:rsidR="00CE17AA" w:rsidRPr="00CE17AA" w:rsidRDefault="00CE17AA" w:rsidP="00CE17AA">
            <w:pPr>
              <w:pStyle w:val="NormalWeb"/>
              <w:spacing w:before="2" w:after="2"/>
              <w:jc w:val="center"/>
              <w:rPr>
                <w:rFonts w:ascii="Arial" w:hAnsi="Arial" w:cs="Arial"/>
              </w:rPr>
            </w:pPr>
            <w:r w:rsidRPr="00CE17AA">
              <w:rPr>
                <w:rFonts w:ascii="Arial" w:hAnsi="Arial" w:cs="Arial"/>
              </w:rPr>
              <w:t>Delta</w:t>
            </w:r>
          </w:p>
        </w:tc>
        <w:tc>
          <w:tcPr>
            <w:tcW w:w="1453" w:type="pct"/>
            <w:gridSpan w:val="2"/>
          </w:tcPr>
          <w:p w14:paraId="2B413F8A" w14:textId="365F7A6B" w:rsidR="00CE17AA" w:rsidRPr="00CE17AA" w:rsidRDefault="00CE17AA" w:rsidP="00CE17AA">
            <w:pPr>
              <w:pStyle w:val="NormalWeb"/>
              <w:spacing w:before="2" w:after="2"/>
              <w:jc w:val="center"/>
              <w:rPr>
                <w:rFonts w:ascii="Arial" w:hAnsi="Arial" w:cs="Arial"/>
              </w:rPr>
            </w:pPr>
            <w:r w:rsidRPr="00CE17AA">
              <w:rPr>
                <w:rFonts w:ascii="Arial" w:hAnsi="Arial" w:cs="Arial"/>
              </w:rPr>
              <w:t>Edo</w:t>
            </w:r>
          </w:p>
        </w:tc>
      </w:tr>
      <w:tr w:rsidR="00CE17AA" w:rsidRPr="00CE17AA" w14:paraId="2F62DAD8" w14:textId="77777777" w:rsidTr="00CE17AA">
        <w:trPr>
          <w:jc w:val="center"/>
        </w:trPr>
        <w:tc>
          <w:tcPr>
            <w:tcW w:w="568" w:type="pct"/>
          </w:tcPr>
          <w:p w14:paraId="0DFA7FC0" w14:textId="77777777" w:rsidR="00CE17AA" w:rsidRPr="00CE17AA" w:rsidRDefault="00CE17AA" w:rsidP="00CE17AA">
            <w:pPr>
              <w:pStyle w:val="NormalWeb"/>
              <w:spacing w:before="2" w:after="2"/>
              <w:rPr>
                <w:rFonts w:ascii="Arial" w:hAnsi="Arial" w:cs="Arial"/>
              </w:rPr>
            </w:pPr>
            <w:r w:rsidRPr="00CE17AA">
              <w:rPr>
                <w:rFonts w:ascii="Arial" w:hAnsi="Arial" w:cs="Arial"/>
              </w:rPr>
              <w:t>Year</w:t>
            </w:r>
          </w:p>
        </w:tc>
        <w:tc>
          <w:tcPr>
            <w:tcW w:w="724" w:type="pct"/>
          </w:tcPr>
          <w:p w14:paraId="5E03AFC8"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4E7B787D"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71CA3A0F"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76224BCE"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92" w:type="pct"/>
          </w:tcPr>
          <w:p w14:paraId="1CC30F81"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02369079"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025125D0"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7E244459"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24" w:type="pct"/>
          </w:tcPr>
          <w:p w14:paraId="505F0C7A"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696E8A25"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29" w:type="pct"/>
          </w:tcPr>
          <w:p w14:paraId="50B6A7E0"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0A530E93"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r>
      <w:tr w:rsidR="00CE17AA" w:rsidRPr="00CE17AA" w14:paraId="31B6E2DA" w14:textId="77777777" w:rsidTr="00CE17AA">
        <w:trPr>
          <w:jc w:val="center"/>
        </w:trPr>
        <w:tc>
          <w:tcPr>
            <w:tcW w:w="568" w:type="pct"/>
          </w:tcPr>
          <w:p w14:paraId="7E726835" w14:textId="77777777" w:rsidR="00CE17AA" w:rsidRPr="00CE17AA" w:rsidRDefault="00CE17AA" w:rsidP="00CE17AA">
            <w:pPr>
              <w:pStyle w:val="NormalWeb"/>
              <w:spacing w:before="2" w:after="2"/>
              <w:rPr>
                <w:rFonts w:ascii="Arial" w:hAnsi="Arial" w:cs="Arial"/>
              </w:rPr>
            </w:pPr>
            <w:r w:rsidRPr="00CE17AA">
              <w:rPr>
                <w:rFonts w:ascii="Arial" w:hAnsi="Arial" w:cs="Arial"/>
              </w:rPr>
              <w:t>2010</w:t>
            </w:r>
          </w:p>
        </w:tc>
        <w:tc>
          <w:tcPr>
            <w:tcW w:w="724" w:type="pct"/>
            <w:vAlign w:val="bottom"/>
          </w:tcPr>
          <w:p w14:paraId="0614ADFF" w14:textId="7B53B10D" w:rsidR="00CE17AA" w:rsidRPr="00CE17AA" w:rsidRDefault="00CE17AA" w:rsidP="00CE17AA">
            <w:pPr>
              <w:pStyle w:val="NormalWeb"/>
              <w:spacing w:before="2" w:after="2"/>
              <w:jc w:val="center"/>
              <w:rPr>
                <w:rFonts w:ascii="Arial" w:hAnsi="Arial" w:cs="Arial"/>
              </w:rPr>
            </w:pPr>
            <w:r w:rsidRPr="00CE17AA">
              <w:rPr>
                <w:rFonts w:ascii="Arial" w:hAnsi="Arial" w:cs="Arial"/>
              </w:rPr>
              <w:t>35,746</w:t>
            </w:r>
          </w:p>
        </w:tc>
        <w:tc>
          <w:tcPr>
            <w:tcW w:w="731" w:type="pct"/>
            <w:vAlign w:val="bottom"/>
          </w:tcPr>
          <w:p w14:paraId="6263C31C" w14:textId="5435411F" w:rsidR="00CE17AA" w:rsidRPr="00CE17AA" w:rsidRDefault="00CE17AA" w:rsidP="00CE17AA">
            <w:pPr>
              <w:pStyle w:val="NormalWeb"/>
              <w:spacing w:before="2" w:after="2"/>
              <w:jc w:val="center"/>
              <w:rPr>
                <w:rFonts w:ascii="Arial" w:hAnsi="Arial" w:cs="Arial"/>
              </w:rPr>
            </w:pPr>
            <w:r w:rsidRPr="00CE17AA">
              <w:rPr>
                <w:rFonts w:ascii="Arial" w:hAnsi="Arial" w:cs="Arial"/>
              </w:rPr>
              <w:t>1,242</w:t>
            </w:r>
          </w:p>
        </w:tc>
        <w:tc>
          <w:tcPr>
            <w:tcW w:w="792" w:type="pct"/>
          </w:tcPr>
          <w:p w14:paraId="28410135" w14:textId="111DE4B4" w:rsidR="00CE17AA" w:rsidRPr="00CE17AA" w:rsidRDefault="00CE17AA" w:rsidP="00CE17AA">
            <w:pPr>
              <w:pStyle w:val="NormalWeb"/>
              <w:spacing w:before="2" w:after="2"/>
              <w:jc w:val="center"/>
              <w:rPr>
                <w:rFonts w:ascii="Arial" w:hAnsi="Arial" w:cs="Arial"/>
              </w:rPr>
            </w:pPr>
            <w:r w:rsidRPr="00CE17AA">
              <w:rPr>
                <w:rFonts w:ascii="Arial" w:hAnsi="Arial" w:cs="Arial"/>
              </w:rPr>
              <w:t>156,016</w:t>
            </w:r>
          </w:p>
        </w:tc>
        <w:tc>
          <w:tcPr>
            <w:tcW w:w="731" w:type="pct"/>
          </w:tcPr>
          <w:p w14:paraId="60D827A4" w14:textId="42DB80B7" w:rsidR="00CE17AA" w:rsidRPr="00CE17AA" w:rsidRDefault="00CE17AA" w:rsidP="00CE17AA">
            <w:pPr>
              <w:pStyle w:val="NormalWeb"/>
              <w:spacing w:before="2" w:after="2"/>
              <w:jc w:val="center"/>
              <w:rPr>
                <w:rFonts w:ascii="Arial" w:hAnsi="Arial" w:cs="Arial"/>
              </w:rPr>
            </w:pPr>
            <w:r w:rsidRPr="00CE17AA">
              <w:rPr>
                <w:rFonts w:ascii="Arial" w:hAnsi="Arial" w:cs="Arial"/>
              </w:rPr>
              <w:t>83,261</w:t>
            </w:r>
          </w:p>
        </w:tc>
        <w:tc>
          <w:tcPr>
            <w:tcW w:w="724" w:type="pct"/>
          </w:tcPr>
          <w:p w14:paraId="5F75B32A" w14:textId="79E5D693" w:rsidR="00CE17AA" w:rsidRPr="00CE17AA" w:rsidRDefault="00CE17AA" w:rsidP="00CE17AA">
            <w:pPr>
              <w:pStyle w:val="NormalWeb"/>
              <w:spacing w:before="2" w:after="2"/>
              <w:jc w:val="center"/>
              <w:rPr>
                <w:rFonts w:ascii="Arial" w:hAnsi="Arial" w:cs="Arial"/>
              </w:rPr>
            </w:pPr>
            <w:r w:rsidRPr="00CE17AA">
              <w:rPr>
                <w:rFonts w:ascii="Arial" w:hAnsi="Arial" w:cs="Arial"/>
              </w:rPr>
              <w:t>42,883</w:t>
            </w:r>
          </w:p>
        </w:tc>
        <w:tc>
          <w:tcPr>
            <w:tcW w:w="729" w:type="pct"/>
          </w:tcPr>
          <w:p w14:paraId="41674460" w14:textId="0165CD67" w:rsidR="00CE17AA" w:rsidRPr="00CE17AA" w:rsidRDefault="00CE17AA" w:rsidP="00CE17AA">
            <w:pPr>
              <w:pStyle w:val="NormalWeb"/>
              <w:spacing w:before="2" w:after="2"/>
              <w:jc w:val="center"/>
              <w:rPr>
                <w:rFonts w:ascii="Arial" w:hAnsi="Arial" w:cs="Arial"/>
              </w:rPr>
            </w:pPr>
            <w:r w:rsidRPr="00CE17AA">
              <w:rPr>
                <w:rFonts w:ascii="Arial" w:hAnsi="Arial" w:cs="Arial"/>
              </w:rPr>
              <w:t>4,932</w:t>
            </w:r>
          </w:p>
        </w:tc>
      </w:tr>
      <w:tr w:rsidR="00CE17AA" w:rsidRPr="00CE17AA" w14:paraId="4AAF7EEA" w14:textId="77777777" w:rsidTr="00CE17AA">
        <w:trPr>
          <w:jc w:val="center"/>
        </w:trPr>
        <w:tc>
          <w:tcPr>
            <w:tcW w:w="568" w:type="pct"/>
          </w:tcPr>
          <w:p w14:paraId="5029A614" w14:textId="77777777" w:rsidR="00CE17AA" w:rsidRPr="00CE17AA" w:rsidRDefault="00CE17AA" w:rsidP="00CE17AA">
            <w:pPr>
              <w:pStyle w:val="NormalWeb"/>
              <w:spacing w:before="2" w:after="2"/>
              <w:rPr>
                <w:rFonts w:ascii="Arial" w:hAnsi="Arial" w:cs="Arial"/>
              </w:rPr>
            </w:pPr>
            <w:r w:rsidRPr="00CE17AA">
              <w:rPr>
                <w:rFonts w:ascii="Arial" w:hAnsi="Arial" w:cs="Arial"/>
              </w:rPr>
              <w:t>2011</w:t>
            </w:r>
          </w:p>
        </w:tc>
        <w:tc>
          <w:tcPr>
            <w:tcW w:w="724" w:type="pct"/>
            <w:vAlign w:val="bottom"/>
          </w:tcPr>
          <w:p w14:paraId="68D521C8" w14:textId="77550024" w:rsidR="00CE17AA" w:rsidRPr="00CE17AA" w:rsidRDefault="00CE17AA" w:rsidP="00CE17AA">
            <w:pPr>
              <w:pStyle w:val="NormalWeb"/>
              <w:spacing w:before="2" w:after="2"/>
              <w:jc w:val="center"/>
              <w:rPr>
                <w:rFonts w:ascii="Arial" w:hAnsi="Arial" w:cs="Arial"/>
              </w:rPr>
            </w:pPr>
            <w:r w:rsidRPr="00CE17AA">
              <w:rPr>
                <w:rFonts w:ascii="Arial" w:hAnsi="Arial" w:cs="Arial"/>
              </w:rPr>
              <w:t>52,507</w:t>
            </w:r>
          </w:p>
        </w:tc>
        <w:tc>
          <w:tcPr>
            <w:tcW w:w="731" w:type="pct"/>
            <w:vAlign w:val="bottom"/>
          </w:tcPr>
          <w:p w14:paraId="537DF1A9" w14:textId="1BBB4CC6" w:rsidR="00CE17AA" w:rsidRPr="00CE17AA" w:rsidRDefault="00CE17AA" w:rsidP="00CE17AA">
            <w:pPr>
              <w:pStyle w:val="NormalWeb"/>
              <w:spacing w:before="2" w:after="2"/>
              <w:jc w:val="center"/>
              <w:rPr>
                <w:rFonts w:ascii="Arial" w:hAnsi="Arial" w:cs="Arial"/>
              </w:rPr>
            </w:pPr>
            <w:r w:rsidRPr="00CE17AA">
              <w:rPr>
                <w:rFonts w:ascii="Arial" w:hAnsi="Arial" w:cs="Arial"/>
              </w:rPr>
              <w:t>4,535</w:t>
            </w:r>
          </w:p>
        </w:tc>
        <w:tc>
          <w:tcPr>
            <w:tcW w:w="792" w:type="pct"/>
          </w:tcPr>
          <w:p w14:paraId="21ACD1D7" w14:textId="39858F9B" w:rsidR="00CE17AA" w:rsidRPr="00CE17AA" w:rsidRDefault="00CE17AA" w:rsidP="00CE17AA">
            <w:pPr>
              <w:pStyle w:val="NormalWeb"/>
              <w:spacing w:before="2" w:after="2"/>
              <w:jc w:val="center"/>
              <w:rPr>
                <w:rFonts w:ascii="Arial" w:hAnsi="Arial" w:cs="Arial"/>
              </w:rPr>
            </w:pPr>
            <w:r w:rsidRPr="00CE17AA">
              <w:rPr>
                <w:rFonts w:ascii="Arial" w:hAnsi="Arial" w:cs="Arial"/>
              </w:rPr>
              <w:t>211,717</w:t>
            </w:r>
          </w:p>
        </w:tc>
        <w:tc>
          <w:tcPr>
            <w:tcW w:w="731" w:type="pct"/>
          </w:tcPr>
          <w:p w14:paraId="7DFAD8BA" w14:textId="53E30713" w:rsidR="00CE17AA" w:rsidRPr="00CE17AA" w:rsidRDefault="00CE17AA" w:rsidP="00CE17AA">
            <w:pPr>
              <w:pStyle w:val="NormalWeb"/>
              <w:spacing w:before="2" w:after="2"/>
              <w:jc w:val="center"/>
              <w:rPr>
                <w:rFonts w:ascii="Arial" w:hAnsi="Arial" w:cs="Arial"/>
              </w:rPr>
            </w:pPr>
            <w:r w:rsidRPr="00CE17AA">
              <w:rPr>
                <w:rFonts w:ascii="Arial" w:hAnsi="Arial" w:cs="Arial"/>
              </w:rPr>
              <w:t>112,670</w:t>
            </w:r>
          </w:p>
        </w:tc>
        <w:tc>
          <w:tcPr>
            <w:tcW w:w="724" w:type="pct"/>
          </w:tcPr>
          <w:p w14:paraId="1B595D8B" w14:textId="47933A12" w:rsidR="00CE17AA" w:rsidRPr="00CE17AA" w:rsidRDefault="00CE17AA" w:rsidP="00CE17AA">
            <w:pPr>
              <w:pStyle w:val="NormalWeb"/>
              <w:spacing w:before="2" w:after="2"/>
              <w:jc w:val="center"/>
              <w:rPr>
                <w:rFonts w:ascii="Arial" w:hAnsi="Arial" w:cs="Arial"/>
              </w:rPr>
            </w:pPr>
            <w:r w:rsidRPr="00CE17AA">
              <w:rPr>
                <w:rFonts w:ascii="Arial" w:hAnsi="Arial" w:cs="Arial"/>
              </w:rPr>
              <w:t>58,175</w:t>
            </w:r>
          </w:p>
        </w:tc>
        <w:tc>
          <w:tcPr>
            <w:tcW w:w="729" w:type="pct"/>
          </w:tcPr>
          <w:p w14:paraId="4E666EA5" w14:textId="76279A07" w:rsidR="00CE17AA" w:rsidRPr="00CE17AA" w:rsidRDefault="00CE17AA" w:rsidP="00CE17AA">
            <w:pPr>
              <w:pStyle w:val="NormalWeb"/>
              <w:spacing w:before="2" w:after="2"/>
              <w:jc w:val="center"/>
              <w:rPr>
                <w:rFonts w:ascii="Arial" w:hAnsi="Arial" w:cs="Arial"/>
              </w:rPr>
            </w:pPr>
            <w:r w:rsidRPr="00CE17AA">
              <w:rPr>
                <w:rFonts w:ascii="Arial" w:hAnsi="Arial" w:cs="Arial"/>
              </w:rPr>
              <w:t>9,984</w:t>
            </w:r>
          </w:p>
        </w:tc>
      </w:tr>
      <w:tr w:rsidR="00CE17AA" w:rsidRPr="00CE17AA" w14:paraId="3CB04BCB" w14:textId="77777777" w:rsidTr="00CE17AA">
        <w:trPr>
          <w:jc w:val="center"/>
        </w:trPr>
        <w:tc>
          <w:tcPr>
            <w:tcW w:w="568" w:type="pct"/>
          </w:tcPr>
          <w:p w14:paraId="49A4C214" w14:textId="77777777" w:rsidR="00CE17AA" w:rsidRPr="00CE17AA" w:rsidRDefault="00CE17AA" w:rsidP="00CE17AA">
            <w:pPr>
              <w:pStyle w:val="NormalWeb"/>
              <w:spacing w:before="2" w:after="2"/>
              <w:rPr>
                <w:rFonts w:ascii="Arial" w:hAnsi="Arial" w:cs="Arial"/>
              </w:rPr>
            </w:pPr>
            <w:r w:rsidRPr="00CE17AA">
              <w:rPr>
                <w:rFonts w:ascii="Arial" w:hAnsi="Arial" w:cs="Arial"/>
              </w:rPr>
              <w:t>2012</w:t>
            </w:r>
          </w:p>
        </w:tc>
        <w:tc>
          <w:tcPr>
            <w:tcW w:w="724" w:type="pct"/>
            <w:vAlign w:val="bottom"/>
          </w:tcPr>
          <w:p w14:paraId="50B668C2" w14:textId="07C513ED" w:rsidR="00CE17AA" w:rsidRPr="00CE17AA" w:rsidRDefault="00CE17AA" w:rsidP="00CE17AA">
            <w:pPr>
              <w:pStyle w:val="NormalWeb"/>
              <w:spacing w:before="2" w:after="2"/>
              <w:jc w:val="center"/>
              <w:rPr>
                <w:rFonts w:ascii="Arial" w:hAnsi="Arial" w:cs="Arial"/>
              </w:rPr>
            </w:pPr>
            <w:r w:rsidRPr="00CE17AA">
              <w:rPr>
                <w:rFonts w:ascii="Arial" w:hAnsi="Arial" w:cs="Arial"/>
              </w:rPr>
              <w:t>47,875</w:t>
            </w:r>
          </w:p>
        </w:tc>
        <w:tc>
          <w:tcPr>
            <w:tcW w:w="731" w:type="pct"/>
            <w:vAlign w:val="bottom"/>
          </w:tcPr>
          <w:p w14:paraId="00DDBF1C" w14:textId="6B59EAA3" w:rsidR="00CE17AA" w:rsidRPr="00CE17AA" w:rsidRDefault="00CE17AA" w:rsidP="00CE17AA">
            <w:pPr>
              <w:pStyle w:val="NormalWeb"/>
              <w:spacing w:before="2" w:after="2"/>
              <w:jc w:val="center"/>
              <w:rPr>
                <w:rFonts w:ascii="Arial" w:hAnsi="Arial" w:cs="Arial"/>
              </w:rPr>
            </w:pPr>
            <w:r w:rsidRPr="00CE17AA">
              <w:rPr>
                <w:rFonts w:ascii="Arial" w:hAnsi="Arial" w:cs="Arial"/>
              </w:rPr>
              <w:t>2,481</w:t>
            </w:r>
          </w:p>
        </w:tc>
        <w:tc>
          <w:tcPr>
            <w:tcW w:w="792" w:type="pct"/>
          </w:tcPr>
          <w:p w14:paraId="55F94679" w14:textId="684D0869" w:rsidR="00CE17AA" w:rsidRPr="00CE17AA" w:rsidRDefault="00CE17AA" w:rsidP="00CE17AA">
            <w:pPr>
              <w:pStyle w:val="NormalWeb"/>
              <w:spacing w:before="2" w:after="2"/>
              <w:jc w:val="center"/>
              <w:rPr>
                <w:rFonts w:ascii="Arial" w:hAnsi="Arial" w:cs="Arial"/>
              </w:rPr>
            </w:pPr>
            <w:r w:rsidRPr="00CE17AA">
              <w:rPr>
                <w:rFonts w:ascii="Arial" w:hAnsi="Arial" w:cs="Arial"/>
              </w:rPr>
              <w:t>203,647</w:t>
            </w:r>
          </w:p>
        </w:tc>
        <w:tc>
          <w:tcPr>
            <w:tcW w:w="731" w:type="pct"/>
          </w:tcPr>
          <w:p w14:paraId="57117DBA" w14:textId="6E48865F" w:rsidR="00CE17AA" w:rsidRPr="00CE17AA" w:rsidRDefault="00CE17AA" w:rsidP="00CE17AA">
            <w:pPr>
              <w:pStyle w:val="NormalWeb"/>
              <w:spacing w:before="2" w:after="2"/>
              <w:jc w:val="center"/>
              <w:rPr>
                <w:rFonts w:ascii="Arial" w:hAnsi="Arial" w:cs="Arial"/>
              </w:rPr>
            </w:pPr>
            <w:r w:rsidRPr="00CE17AA">
              <w:rPr>
                <w:rFonts w:ascii="Arial" w:hAnsi="Arial" w:cs="Arial"/>
              </w:rPr>
              <w:t>119,079</w:t>
            </w:r>
          </w:p>
        </w:tc>
        <w:tc>
          <w:tcPr>
            <w:tcW w:w="724" w:type="pct"/>
          </w:tcPr>
          <w:p w14:paraId="551131D8" w14:textId="6F57EFBB" w:rsidR="00CE17AA" w:rsidRPr="00CE17AA" w:rsidRDefault="00CE17AA" w:rsidP="00CE17AA">
            <w:pPr>
              <w:pStyle w:val="NormalWeb"/>
              <w:spacing w:before="2" w:after="2"/>
              <w:jc w:val="center"/>
              <w:rPr>
                <w:rFonts w:ascii="Arial" w:hAnsi="Arial" w:cs="Arial"/>
              </w:rPr>
            </w:pPr>
            <w:r w:rsidRPr="00CE17AA">
              <w:rPr>
                <w:rFonts w:ascii="Arial" w:hAnsi="Arial" w:cs="Arial"/>
              </w:rPr>
              <w:t>58,440</w:t>
            </w:r>
          </w:p>
        </w:tc>
        <w:tc>
          <w:tcPr>
            <w:tcW w:w="729" w:type="pct"/>
          </w:tcPr>
          <w:p w14:paraId="0FB20D2E" w14:textId="1B94D7A4" w:rsidR="00CE17AA" w:rsidRPr="00CE17AA" w:rsidRDefault="00CE17AA" w:rsidP="00CE17AA">
            <w:pPr>
              <w:pStyle w:val="NormalWeb"/>
              <w:spacing w:before="2" w:after="2"/>
              <w:jc w:val="center"/>
              <w:rPr>
                <w:rFonts w:ascii="Arial" w:hAnsi="Arial" w:cs="Arial"/>
              </w:rPr>
            </w:pPr>
            <w:r w:rsidRPr="00CE17AA">
              <w:rPr>
                <w:rFonts w:ascii="Arial" w:hAnsi="Arial" w:cs="Arial"/>
              </w:rPr>
              <w:t>10,877</w:t>
            </w:r>
          </w:p>
        </w:tc>
      </w:tr>
      <w:tr w:rsidR="00CE17AA" w:rsidRPr="00CE17AA" w14:paraId="39B5187E" w14:textId="77777777" w:rsidTr="00CE17AA">
        <w:trPr>
          <w:jc w:val="center"/>
        </w:trPr>
        <w:tc>
          <w:tcPr>
            <w:tcW w:w="568" w:type="pct"/>
          </w:tcPr>
          <w:p w14:paraId="5258796C" w14:textId="77777777" w:rsidR="00CE17AA" w:rsidRPr="00CE17AA" w:rsidRDefault="00CE17AA" w:rsidP="00CE17AA">
            <w:pPr>
              <w:pStyle w:val="NormalWeb"/>
              <w:spacing w:before="2" w:after="2"/>
              <w:rPr>
                <w:rFonts w:ascii="Arial" w:hAnsi="Arial" w:cs="Arial"/>
              </w:rPr>
            </w:pPr>
            <w:r w:rsidRPr="00CE17AA">
              <w:rPr>
                <w:rFonts w:ascii="Arial" w:hAnsi="Arial" w:cs="Arial"/>
              </w:rPr>
              <w:t>2013</w:t>
            </w:r>
          </w:p>
        </w:tc>
        <w:tc>
          <w:tcPr>
            <w:tcW w:w="724" w:type="pct"/>
            <w:vAlign w:val="bottom"/>
          </w:tcPr>
          <w:p w14:paraId="2736F36F" w14:textId="47552C95" w:rsidR="00CE17AA" w:rsidRPr="00CE17AA" w:rsidRDefault="00CE17AA" w:rsidP="00CE17AA">
            <w:pPr>
              <w:pStyle w:val="NormalWeb"/>
              <w:spacing w:before="2" w:after="2"/>
              <w:jc w:val="center"/>
              <w:rPr>
                <w:rFonts w:ascii="Arial" w:hAnsi="Arial" w:cs="Arial"/>
              </w:rPr>
            </w:pPr>
            <w:r w:rsidRPr="00CE17AA">
              <w:rPr>
                <w:rFonts w:ascii="Arial" w:hAnsi="Arial" w:cs="Arial"/>
              </w:rPr>
              <w:t>52,018</w:t>
            </w:r>
          </w:p>
        </w:tc>
        <w:tc>
          <w:tcPr>
            <w:tcW w:w="731" w:type="pct"/>
            <w:vAlign w:val="bottom"/>
          </w:tcPr>
          <w:p w14:paraId="0225C2F1" w14:textId="149B7007" w:rsidR="00CE17AA" w:rsidRPr="00CE17AA" w:rsidRDefault="00CE17AA" w:rsidP="00CE17AA">
            <w:pPr>
              <w:pStyle w:val="NormalWeb"/>
              <w:spacing w:before="2" w:after="2"/>
              <w:jc w:val="center"/>
              <w:rPr>
                <w:rFonts w:ascii="Arial" w:hAnsi="Arial" w:cs="Arial"/>
              </w:rPr>
            </w:pPr>
            <w:r w:rsidRPr="00CE17AA">
              <w:rPr>
                <w:rFonts w:ascii="Arial" w:hAnsi="Arial" w:cs="Arial"/>
              </w:rPr>
              <w:t>n/a</w:t>
            </w:r>
            <w:r w:rsidRPr="00CE17AA">
              <w:rPr>
                <w:rStyle w:val="FootnoteReference"/>
                <w:rFonts w:ascii="Arial" w:hAnsi="Arial" w:cs="Arial"/>
              </w:rPr>
              <w:footnoteReference w:id="61"/>
            </w:r>
          </w:p>
        </w:tc>
        <w:tc>
          <w:tcPr>
            <w:tcW w:w="792" w:type="pct"/>
          </w:tcPr>
          <w:p w14:paraId="7DB45450" w14:textId="3821680D" w:rsidR="00CE17AA" w:rsidRPr="00CE17AA" w:rsidRDefault="00CE17AA" w:rsidP="00CE17AA">
            <w:pPr>
              <w:pStyle w:val="NormalWeb"/>
              <w:spacing w:before="2" w:after="2"/>
              <w:jc w:val="center"/>
              <w:rPr>
                <w:rFonts w:ascii="Arial" w:hAnsi="Arial" w:cs="Arial"/>
              </w:rPr>
            </w:pPr>
            <w:r w:rsidRPr="00CE17AA">
              <w:rPr>
                <w:rFonts w:ascii="Arial" w:hAnsi="Arial" w:cs="Arial"/>
              </w:rPr>
              <w:t>217,921</w:t>
            </w:r>
          </w:p>
        </w:tc>
        <w:tc>
          <w:tcPr>
            <w:tcW w:w="731" w:type="pct"/>
          </w:tcPr>
          <w:p w14:paraId="0A138D2F" w14:textId="74A17A69" w:rsidR="00CE17AA" w:rsidRPr="00CE17AA" w:rsidRDefault="00CE17AA" w:rsidP="00CE17AA">
            <w:pPr>
              <w:pStyle w:val="NormalWeb"/>
              <w:spacing w:before="2" w:after="2"/>
              <w:jc w:val="center"/>
              <w:rPr>
                <w:rFonts w:ascii="Arial" w:hAnsi="Arial" w:cs="Arial"/>
              </w:rPr>
            </w:pPr>
            <w:r w:rsidRPr="00CE17AA">
              <w:rPr>
                <w:rFonts w:ascii="Arial" w:hAnsi="Arial" w:cs="Arial"/>
              </w:rPr>
              <w:t>129,394</w:t>
            </w:r>
          </w:p>
        </w:tc>
        <w:tc>
          <w:tcPr>
            <w:tcW w:w="724" w:type="pct"/>
          </w:tcPr>
          <w:p w14:paraId="2B1C01E4" w14:textId="71E1F71E" w:rsidR="00CE17AA" w:rsidRPr="00CE17AA" w:rsidRDefault="00CE17AA" w:rsidP="00CE17AA">
            <w:pPr>
              <w:pStyle w:val="NormalWeb"/>
              <w:spacing w:before="2" w:after="2"/>
              <w:jc w:val="center"/>
              <w:rPr>
                <w:rFonts w:ascii="Arial" w:hAnsi="Arial" w:cs="Arial"/>
              </w:rPr>
            </w:pPr>
            <w:r w:rsidRPr="00CE17AA">
              <w:rPr>
                <w:rFonts w:ascii="Arial" w:hAnsi="Arial" w:cs="Arial"/>
              </w:rPr>
              <w:t>65,204</w:t>
            </w:r>
          </w:p>
        </w:tc>
        <w:tc>
          <w:tcPr>
            <w:tcW w:w="729" w:type="pct"/>
          </w:tcPr>
          <w:p w14:paraId="6C815C0C" w14:textId="04D2262C" w:rsidR="00CE17AA" w:rsidRPr="00CE17AA" w:rsidRDefault="00CE17AA" w:rsidP="00CE17AA">
            <w:pPr>
              <w:pStyle w:val="NormalWeb"/>
              <w:spacing w:before="2" w:after="2"/>
              <w:jc w:val="center"/>
              <w:rPr>
                <w:rFonts w:ascii="Arial" w:hAnsi="Arial" w:cs="Arial"/>
              </w:rPr>
            </w:pPr>
            <w:r w:rsidRPr="00CE17AA">
              <w:rPr>
                <w:rFonts w:ascii="Arial" w:hAnsi="Arial" w:cs="Arial"/>
              </w:rPr>
              <w:t>13,972</w:t>
            </w:r>
          </w:p>
        </w:tc>
      </w:tr>
      <w:tr w:rsidR="00CE17AA" w:rsidRPr="00CE17AA" w14:paraId="499F4224" w14:textId="77777777" w:rsidTr="00CE17AA">
        <w:trPr>
          <w:jc w:val="center"/>
        </w:trPr>
        <w:tc>
          <w:tcPr>
            <w:tcW w:w="568" w:type="pct"/>
          </w:tcPr>
          <w:p w14:paraId="73797568" w14:textId="77777777" w:rsidR="00CE17AA" w:rsidRPr="00CE17AA" w:rsidRDefault="00CE17AA" w:rsidP="00CE17AA">
            <w:pPr>
              <w:pStyle w:val="NormalWeb"/>
              <w:spacing w:before="2" w:after="2"/>
              <w:rPr>
                <w:rFonts w:ascii="Arial" w:hAnsi="Arial" w:cs="Arial"/>
              </w:rPr>
            </w:pPr>
            <w:r w:rsidRPr="00CE17AA">
              <w:rPr>
                <w:rFonts w:ascii="Arial" w:hAnsi="Arial" w:cs="Arial"/>
              </w:rPr>
              <w:t>2014</w:t>
            </w:r>
          </w:p>
        </w:tc>
        <w:tc>
          <w:tcPr>
            <w:tcW w:w="724" w:type="pct"/>
            <w:vAlign w:val="bottom"/>
          </w:tcPr>
          <w:p w14:paraId="159A1C9B" w14:textId="4D7AE3D8" w:rsidR="00CE17AA" w:rsidRPr="00CE17AA" w:rsidRDefault="00CE17AA" w:rsidP="00CE17AA">
            <w:pPr>
              <w:pStyle w:val="NormalWeb"/>
              <w:spacing w:before="2" w:after="2"/>
              <w:jc w:val="center"/>
              <w:rPr>
                <w:rFonts w:ascii="Arial" w:hAnsi="Arial" w:cs="Arial"/>
              </w:rPr>
            </w:pPr>
            <w:r w:rsidRPr="00CE17AA">
              <w:rPr>
                <w:rFonts w:ascii="Arial" w:hAnsi="Arial" w:cs="Arial"/>
              </w:rPr>
              <w:t>37,780</w:t>
            </w:r>
          </w:p>
        </w:tc>
        <w:tc>
          <w:tcPr>
            <w:tcW w:w="731" w:type="pct"/>
            <w:vAlign w:val="bottom"/>
          </w:tcPr>
          <w:p w14:paraId="544829AB" w14:textId="1ED7A521" w:rsidR="00CE17AA" w:rsidRPr="00CE17AA" w:rsidRDefault="00CE17AA" w:rsidP="00CE17AA">
            <w:pPr>
              <w:pStyle w:val="NormalWeb"/>
              <w:spacing w:before="2" w:after="2"/>
              <w:jc w:val="center"/>
              <w:rPr>
                <w:rFonts w:ascii="Arial" w:hAnsi="Arial" w:cs="Arial"/>
              </w:rPr>
            </w:pPr>
            <w:r w:rsidRPr="00CE17AA">
              <w:rPr>
                <w:rFonts w:ascii="Arial" w:hAnsi="Arial" w:cs="Arial"/>
              </w:rPr>
              <w:t>n/a</w:t>
            </w:r>
          </w:p>
        </w:tc>
        <w:tc>
          <w:tcPr>
            <w:tcW w:w="792" w:type="pct"/>
          </w:tcPr>
          <w:p w14:paraId="6F736A46" w14:textId="0D0F2B99" w:rsidR="00CE17AA" w:rsidRPr="00CE17AA" w:rsidRDefault="00CE17AA" w:rsidP="00CE17AA">
            <w:pPr>
              <w:pStyle w:val="NormalWeb"/>
              <w:spacing w:before="2" w:after="2"/>
              <w:jc w:val="center"/>
              <w:rPr>
                <w:rFonts w:ascii="Arial" w:hAnsi="Arial" w:cs="Arial"/>
              </w:rPr>
            </w:pPr>
            <w:r w:rsidRPr="00CE17AA">
              <w:rPr>
                <w:rFonts w:ascii="Arial" w:hAnsi="Arial" w:cs="Arial"/>
              </w:rPr>
              <w:t>141,190</w:t>
            </w:r>
          </w:p>
        </w:tc>
        <w:tc>
          <w:tcPr>
            <w:tcW w:w="731" w:type="pct"/>
          </w:tcPr>
          <w:p w14:paraId="39C0E183" w14:textId="1A08363F" w:rsidR="00CE17AA" w:rsidRPr="00CE17AA" w:rsidRDefault="00CE17AA" w:rsidP="00CE17AA">
            <w:pPr>
              <w:pStyle w:val="NormalWeb"/>
              <w:spacing w:before="2" w:after="2"/>
              <w:jc w:val="center"/>
              <w:rPr>
                <w:rFonts w:ascii="Arial" w:hAnsi="Arial" w:cs="Arial"/>
              </w:rPr>
            </w:pPr>
            <w:r w:rsidRPr="00CE17AA">
              <w:rPr>
                <w:rFonts w:ascii="Arial" w:hAnsi="Arial" w:cs="Arial"/>
              </w:rPr>
              <w:t>100,278</w:t>
            </w:r>
          </w:p>
        </w:tc>
        <w:tc>
          <w:tcPr>
            <w:tcW w:w="724" w:type="pct"/>
          </w:tcPr>
          <w:p w14:paraId="37982F97" w14:textId="4815C210" w:rsidR="00CE17AA" w:rsidRPr="00CE17AA" w:rsidRDefault="00CE17AA" w:rsidP="00CE17AA">
            <w:pPr>
              <w:pStyle w:val="NormalWeb"/>
              <w:spacing w:before="2" w:after="2"/>
              <w:jc w:val="center"/>
              <w:rPr>
                <w:rFonts w:ascii="Arial" w:hAnsi="Arial" w:cs="Arial"/>
              </w:rPr>
            </w:pPr>
            <w:r w:rsidRPr="00CE17AA">
              <w:rPr>
                <w:rFonts w:ascii="Arial" w:hAnsi="Arial" w:cs="Arial"/>
              </w:rPr>
              <w:t>44,118</w:t>
            </w:r>
          </w:p>
        </w:tc>
        <w:tc>
          <w:tcPr>
            <w:tcW w:w="729" w:type="pct"/>
          </w:tcPr>
          <w:p w14:paraId="646674E4" w14:textId="05C2BBFA" w:rsidR="00CE17AA" w:rsidRPr="00CE17AA" w:rsidRDefault="00CE17AA" w:rsidP="00CE17AA">
            <w:pPr>
              <w:pStyle w:val="NormalWeb"/>
              <w:spacing w:before="2" w:after="2"/>
              <w:jc w:val="center"/>
              <w:rPr>
                <w:rFonts w:ascii="Arial" w:hAnsi="Arial" w:cs="Arial"/>
              </w:rPr>
            </w:pPr>
            <w:r w:rsidRPr="00CE17AA">
              <w:rPr>
                <w:rFonts w:ascii="Arial" w:hAnsi="Arial" w:cs="Arial"/>
              </w:rPr>
              <w:t>12,020</w:t>
            </w:r>
          </w:p>
        </w:tc>
      </w:tr>
      <w:tr w:rsidR="00CE17AA" w:rsidRPr="00CE17AA" w14:paraId="01AE1624" w14:textId="77777777" w:rsidTr="00CE17AA">
        <w:trPr>
          <w:jc w:val="center"/>
        </w:trPr>
        <w:tc>
          <w:tcPr>
            <w:tcW w:w="568" w:type="pct"/>
          </w:tcPr>
          <w:p w14:paraId="7DB94DD2" w14:textId="77777777" w:rsidR="00CE17AA" w:rsidRPr="00CE17AA" w:rsidRDefault="00CE17AA" w:rsidP="00CE17AA">
            <w:pPr>
              <w:pStyle w:val="NormalWeb"/>
              <w:spacing w:before="2" w:after="2"/>
              <w:rPr>
                <w:rFonts w:ascii="Arial" w:hAnsi="Arial" w:cs="Arial"/>
              </w:rPr>
            </w:pPr>
            <w:r w:rsidRPr="00CE17AA">
              <w:rPr>
                <w:rFonts w:ascii="Arial" w:hAnsi="Arial" w:cs="Arial"/>
              </w:rPr>
              <w:t>Total</w:t>
            </w:r>
          </w:p>
        </w:tc>
        <w:tc>
          <w:tcPr>
            <w:tcW w:w="724" w:type="pct"/>
            <w:vAlign w:val="bottom"/>
          </w:tcPr>
          <w:p w14:paraId="48EB5CF6" w14:textId="191E02C3" w:rsidR="00CE17AA" w:rsidRPr="00CE17AA" w:rsidRDefault="00CE17AA" w:rsidP="00CE17AA">
            <w:pPr>
              <w:pStyle w:val="NormalWeb"/>
              <w:spacing w:before="2" w:after="2"/>
              <w:jc w:val="center"/>
              <w:rPr>
                <w:rFonts w:ascii="Arial" w:hAnsi="Arial" w:cs="Arial"/>
              </w:rPr>
            </w:pPr>
            <w:r w:rsidRPr="00CE17AA">
              <w:rPr>
                <w:rFonts w:ascii="Arial" w:hAnsi="Arial" w:cs="Arial"/>
              </w:rPr>
              <w:t>225,926</w:t>
            </w:r>
          </w:p>
        </w:tc>
        <w:tc>
          <w:tcPr>
            <w:tcW w:w="731" w:type="pct"/>
            <w:vAlign w:val="bottom"/>
          </w:tcPr>
          <w:p w14:paraId="085A23F6" w14:textId="1402D975" w:rsidR="00CE17AA" w:rsidRPr="00CE17AA" w:rsidRDefault="00CE17AA" w:rsidP="00CE17AA">
            <w:pPr>
              <w:pStyle w:val="NormalWeb"/>
              <w:spacing w:before="2" w:after="2"/>
              <w:jc w:val="center"/>
              <w:rPr>
                <w:rFonts w:ascii="Arial" w:hAnsi="Arial" w:cs="Arial"/>
              </w:rPr>
            </w:pPr>
            <w:r w:rsidRPr="00CE17AA">
              <w:rPr>
                <w:rFonts w:ascii="Arial" w:hAnsi="Arial" w:cs="Arial"/>
              </w:rPr>
              <w:t>8,258</w:t>
            </w:r>
          </w:p>
        </w:tc>
        <w:tc>
          <w:tcPr>
            <w:tcW w:w="792" w:type="pct"/>
          </w:tcPr>
          <w:p w14:paraId="052238A3" w14:textId="1AB22955" w:rsidR="00CE17AA" w:rsidRPr="00CE17AA" w:rsidRDefault="00CE17AA" w:rsidP="00CE17AA">
            <w:pPr>
              <w:pStyle w:val="NormalWeb"/>
              <w:spacing w:before="2" w:after="2"/>
              <w:jc w:val="center"/>
              <w:rPr>
                <w:rFonts w:ascii="Arial" w:hAnsi="Arial" w:cs="Arial"/>
              </w:rPr>
            </w:pPr>
            <w:r w:rsidRPr="00CE17AA">
              <w:rPr>
                <w:rFonts w:ascii="Arial" w:hAnsi="Arial" w:cs="Arial"/>
              </w:rPr>
              <w:t>930,490</w:t>
            </w:r>
          </w:p>
        </w:tc>
        <w:tc>
          <w:tcPr>
            <w:tcW w:w="731" w:type="pct"/>
          </w:tcPr>
          <w:p w14:paraId="0CE37566" w14:textId="3FE86E9B" w:rsidR="00CE17AA" w:rsidRPr="00CE17AA" w:rsidRDefault="00CE17AA" w:rsidP="00CE17AA">
            <w:pPr>
              <w:pStyle w:val="NormalWeb"/>
              <w:spacing w:before="2" w:after="2"/>
              <w:jc w:val="center"/>
              <w:rPr>
                <w:rFonts w:ascii="Arial" w:hAnsi="Arial" w:cs="Arial"/>
              </w:rPr>
            </w:pPr>
            <w:r w:rsidRPr="00CE17AA">
              <w:rPr>
                <w:rFonts w:ascii="Arial" w:hAnsi="Arial" w:cs="Arial"/>
              </w:rPr>
              <w:t>544,682</w:t>
            </w:r>
          </w:p>
        </w:tc>
        <w:tc>
          <w:tcPr>
            <w:tcW w:w="724" w:type="pct"/>
          </w:tcPr>
          <w:p w14:paraId="0D1B75AB" w14:textId="52E80A26" w:rsidR="00CE17AA" w:rsidRPr="00CE17AA" w:rsidRDefault="00CE17AA" w:rsidP="00CE17AA">
            <w:pPr>
              <w:pStyle w:val="NormalWeb"/>
              <w:spacing w:before="2" w:after="2"/>
              <w:jc w:val="center"/>
              <w:rPr>
                <w:rFonts w:ascii="Arial" w:hAnsi="Arial" w:cs="Arial"/>
              </w:rPr>
            </w:pPr>
            <w:r w:rsidRPr="00CE17AA">
              <w:rPr>
                <w:rFonts w:ascii="Arial" w:hAnsi="Arial" w:cs="Arial"/>
              </w:rPr>
              <w:t>268,820</w:t>
            </w:r>
          </w:p>
        </w:tc>
        <w:tc>
          <w:tcPr>
            <w:tcW w:w="729" w:type="pct"/>
          </w:tcPr>
          <w:p w14:paraId="717DC9A8" w14:textId="2ADA257A" w:rsidR="00CE17AA" w:rsidRPr="00CE17AA" w:rsidRDefault="00CE17AA" w:rsidP="00CE17AA">
            <w:pPr>
              <w:pStyle w:val="NormalWeb"/>
              <w:spacing w:before="2" w:after="2"/>
              <w:jc w:val="center"/>
              <w:rPr>
                <w:rFonts w:ascii="Arial" w:hAnsi="Arial" w:cs="Arial"/>
              </w:rPr>
            </w:pPr>
            <w:r w:rsidRPr="00CE17AA">
              <w:rPr>
                <w:rFonts w:ascii="Arial" w:hAnsi="Arial" w:cs="Arial"/>
              </w:rPr>
              <w:t>51,786</w:t>
            </w:r>
          </w:p>
        </w:tc>
      </w:tr>
    </w:tbl>
    <w:p w14:paraId="235B87DF" w14:textId="77777777" w:rsidR="00EB2031" w:rsidRDefault="00EB2031" w:rsidP="00EB2031">
      <w:pPr>
        <w:pStyle w:val="NormalWeb"/>
        <w:spacing w:before="2" w:after="2"/>
        <w:rPr>
          <w:rFonts w:ascii="Arial" w:hAnsi="Arial" w:cs="Arial"/>
        </w:rPr>
      </w:pPr>
    </w:p>
    <w:tbl>
      <w:tblPr>
        <w:tblStyle w:val="TableGrid"/>
        <w:tblW w:w="5000" w:type="pct"/>
        <w:jc w:val="center"/>
        <w:tblLook w:val="04A0" w:firstRow="1" w:lastRow="0" w:firstColumn="1" w:lastColumn="0" w:noHBand="0" w:noVBand="1"/>
      </w:tblPr>
      <w:tblGrid>
        <w:gridCol w:w="1055"/>
        <w:gridCol w:w="1344"/>
        <w:gridCol w:w="1357"/>
        <w:gridCol w:w="1470"/>
        <w:gridCol w:w="1357"/>
        <w:gridCol w:w="1344"/>
        <w:gridCol w:w="1353"/>
      </w:tblGrid>
      <w:tr w:rsidR="00CE17AA" w:rsidRPr="00CE17AA" w14:paraId="69ABC2DB" w14:textId="77777777" w:rsidTr="00CE17AA">
        <w:trPr>
          <w:jc w:val="center"/>
        </w:trPr>
        <w:tc>
          <w:tcPr>
            <w:tcW w:w="568" w:type="pct"/>
          </w:tcPr>
          <w:p w14:paraId="0725C6CE" w14:textId="77777777" w:rsidR="00CE17AA" w:rsidRPr="00CE17AA" w:rsidRDefault="00CE17AA" w:rsidP="00CE17AA">
            <w:pPr>
              <w:pStyle w:val="NormalWeb"/>
              <w:spacing w:before="2" w:after="2"/>
              <w:rPr>
                <w:rFonts w:ascii="Arial" w:hAnsi="Arial" w:cs="Arial"/>
              </w:rPr>
            </w:pPr>
          </w:p>
        </w:tc>
        <w:tc>
          <w:tcPr>
            <w:tcW w:w="1455" w:type="pct"/>
            <w:gridSpan w:val="2"/>
          </w:tcPr>
          <w:p w14:paraId="4F488854" w14:textId="292DCE22" w:rsidR="00CE17AA" w:rsidRPr="00CE17AA" w:rsidRDefault="00CE17AA" w:rsidP="00CE17AA">
            <w:pPr>
              <w:pStyle w:val="NormalWeb"/>
              <w:spacing w:before="2" w:after="2"/>
              <w:jc w:val="center"/>
              <w:rPr>
                <w:rFonts w:ascii="Arial" w:hAnsi="Arial" w:cs="Arial"/>
              </w:rPr>
            </w:pPr>
            <w:r w:rsidRPr="00CE17AA">
              <w:rPr>
                <w:rFonts w:ascii="Arial" w:hAnsi="Arial" w:cs="Arial"/>
              </w:rPr>
              <w:t>Imo</w:t>
            </w:r>
          </w:p>
        </w:tc>
        <w:tc>
          <w:tcPr>
            <w:tcW w:w="1523" w:type="pct"/>
            <w:gridSpan w:val="2"/>
          </w:tcPr>
          <w:p w14:paraId="2CA2E0E6" w14:textId="7263D38A" w:rsidR="00CE17AA" w:rsidRPr="00CE17AA" w:rsidRDefault="00CE17AA" w:rsidP="00CE17AA">
            <w:pPr>
              <w:pStyle w:val="NormalWeb"/>
              <w:spacing w:before="2" w:after="2"/>
              <w:jc w:val="center"/>
              <w:rPr>
                <w:rFonts w:ascii="Arial" w:hAnsi="Arial" w:cs="Arial"/>
              </w:rPr>
            </w:pPr>
            <w:r w:rsidRPr="00CE17AA">
              <w:rPr>
                <w:rFonts w:ascii="Arial" w:hAnsi="Arial" w:cs="Arial"/>
              </w:rPr>
              <w:t>Ondo</w:t>
            </w:r>
          </w:p>
        </w:tc>
        <w:tc>
          <w:tcPr>
            <w:tcW w:w="1453" w:type="pct"/>
            <w:gridSpan w:val="2"/>
          </w:tcPr>
          <w:p w14:paraId="7F9A9DFC" w14:textId="64A26963" w:rsidR="00CE17AA" w:rsidRPr="00CE17AA" w:rsidRDefault="00CE17AA" w:rsidP="00CE17AA">
            <w:pPr>
              <w:pStyle w:val="NormalWeb"/>
              <w:spacing w:before="2" w:after="2"/>
              <w:jc w:val="center"/>
              <w:rPr>
                <w:rFonts w:ascii="Arial" w:hAnsi="Arial" w:cs="Arial"/>
              </w:rPr>
            </w:pPr>
            <w:r w:rsidRPr="00CE17AA">
              <w:rPr>
                <w:rFonts w:ascii="Arial" w:hAnsi="Arial" w:cs="Arial"/>
              </w:rPr>
              <w:t>Rivers</w:t>
            </w:r>
          </w:p>
        </w:tc>
      </w:tr>
      <w:tr w:rsidR="00CE17AA" w:rsidRPr="00CE17AA" w14:paraId="12472F7F" w14:textId="77777777" w:rsidTr="00CE17AA">
        <w:trPr>
          <w:trHeight w:val="461"/>
          <w:jc w:val="center"/>
        </w:trPr>
        <w:tc>
          <w:tcPr>
            <w:tcW w:w="568" w:type="pct"/>
          </w:tcPr>
          <w:p w14:paraId="7D5F4490" w14:textId="77777777" w:rsidR="00CE17AA" w:rsidRPr="00CE17AA" w:rsidRDefault="00CE17AA" w:rsidP="00CE17AA">
            <w:pPr>
              <w:pStyle w:val="NormalWeb"/>
              <w:spacing w:before="2" w:after="2"/>
              <w:rPr>
                <w:rFonts w:ascii="Arial" w:hAnsi="Arial" w:cs="Arial"/>
              </w:rPr>
            </w:pPr>
            <w:r w:rsidRPr="00CE17AA">
              <w:rPr>
                <w:rFonts w:ascii="Arial" w:hAnsi="Arial" w:cs="Arial"/>
              </w:rPr>
              <w:t>Year</w:t>
            </w:r>
          </w:p>
        </w:tc>
        <w:tc>
          <w:tcPr>
            <w:tcW w:w="724" w:type="pct"/>
          </w:tcPr>
          <w:p w14:paraId="4AD655ED"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1BAB4AA1"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155ABAB0"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54B8AE41"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92" w:type="pct"/>
          </w:tcPr>
          <w:p w14:paraId="4C01D5EB"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7D787E32"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31" w:type="pct"/>
          </w:tcPr>
          <w:p w14:paraId="128E3E9A"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760445ED"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24" w:type="pct"/>
          </w:tcPr>
          <w:p w14:paraId="1CFB86D7"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w:t>
            </w:r>
          </w:p>
          <w:p w14:paraId="7870B5C0"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c>
          <w:tcPr>
            <w:tcW w:w="729" w:type="pct"/>
          </w:tcPr>
          <w:p w14:paraId="16F98A2D"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w:t>
            </w:r>
          </w:p>
          <w:p w14:paraId="7E36AAE6" w14:textId="77777777" w:rsidR="00CE17AA" w:rsidRPr="00CE17AA" w:rsidRDefault="00CE17AA" w:rsidP="00CE17AA">
            <w:pPr>
              <w:pStyle w:val="NormalWeb"/>
              <w:spacing w:before="2" w:after="2"/>
              <w:jc w:val="center"/>
              <w:rPr>
                <w:rFonts w:ascii="Arial" w:hAnsi="Arial" w:cs="Arial"/>
              </w:rPr>
            </w:pPr>
            <w:r w:rsidRPr="00CE17AA">
              <w:rPr>
                <w:rFonts w:ascii="Arial" w:hAnsi="Arial" w:cs="Arial"/>
              </w:rPr>
              <w:t>(N’million)</w:t>
            </w:r>
          </w:p>
        </w:tc>
      </w:tr>
      <w:tr w:rsidR="00CE17AA" w:rsidRPr="00CE17AA" w14:paraId="12B290DF" w14:textId="77777777" w:rsidTr="00CE17AA">
        <w:trPr>
          <w:jc w:val="center"/>
        </w:trPr>
        <w:tc>
          <w:tcPr>
            <w:tcW w:w="568" w:type="pct"/>
          </w:tcPr>
          <w:p w14:paraId="4FF5CB04" w14:textId="77777777" w:rsidR="00CE17AA" w:rsidRPr="00CE17AA" w:rsidRDefault="00CE17AA" w:rsidP="00CE17AA">
            <w:pPr>
              <w:pStyle w:val="NormalWeb"/>
              <w:spacing w:before="2" w:after="2"/>
              <w:rPr>
                <w:rFonts w:ascii="Arial" w:hAnsi="Arial" w:cs="Arial"/>
              </w:rPr>
            </w:pPr>
            <w:r w:rsidRPr="00CE17AA">
              <w:rPr>
                <w:rFonts w:ascii="Arial" w:hAnsi="Arial" w:cs="Arial"/>
              </w:rPr>
              <w:t>2010</w:t>
            </w:r>
          </w:p>
        </w:tc>
        <w:tc>
          <w:tcPr>
            <w:tcW w:w="724" w:type="pct"/>
          </w:tcPr>
          <w:p w14:paraId="237A34EB" w14:textId="7ED1F0B8" w:rsidR="00CE17AA" w:rsidRPr="00CE17AA" w:rsidRDefault="00CE17AA" w:rsidP="00CE17AA">
            <w:pPr>
              <w:pStyle w:val="NormalWeb"/>
              <w:spacing w:before="2" w:after="2"/>
              <w:jc w:val="center"/>
              <w:rPr>
                <w:rFonts w:ascii="Arial" w:hAnsi="Arial" w:cs="Arial"/>
              </w:rPr>
            </w:pPr>
            <w:r w:rsidRPr="00CE17AA">
              <w:rPr>
                <w:rFonts w:ascii="Arial" w:hAnsi="Arial" w:cs="Arial"/>
              </w:rPr>
              <w:t>42,471</w:t>
            </w:r>
          </w:p>
        </w:tc>
        <w:tc>
          <w:tcPr>
            <w:tcW w:w="731" w:type="pct"/>
          </w:tcPr>
          <w:p w14:paraId="224CD465" w14:textId="1D0B72E8" w:rsidR="00CE17AA" w:rsidRPr="00CE17AA" w:rsidRDefault="00CE17AA" w:rsidP="00CE17AA">
            <w:pPr>
              <w:pStyle w:val="NormalWeb"/>
              <w:spacing w:before="2" w:after="2"/>
              <w:jc w:val="center"/>
              <w:rPr>
                <w:rFonts w:ascii="Arial" w:hAnsi="Arial" w:cs="Arial"/>
              </w:rPr>
            </w:pPr>
            <w:r w:rsidRPr="00CE17AA">
              <w:rPr>
                <w:rFonts w:ascii="Arial" w:hAnsi="Arial" w:cs="Arial"/>
              </w:rPr>
              <w:t>5,327</w:t>
            </w:r>
          </w:p>
        </w:tc>
        <w:tc>
          <w:tcPr>
            <w:tcW w:w="792" w:type="pct"/>
          </w:tcPr>
          <w:p w14:paraId="787CE2EE" w14:textId="5AD60BFF" w:rsidR="00CE17AA" w:rsidRPr="00CE17AA" w:rsidRDefault="00CE17AA" w:rsidP="00CE17AA">
            <w:pPr>
              <w:pStyle w:val="NormalWeb"/>
              <w:spacing w:before="2" w:after="2"/>
              <w:jc w:val="center"/>
              <w:rPr>
                <w:rFonts w:ascii="Arial" w:hAnsi="Arial" w:cs="Arial"/>
              </w:rPr>
            </w:pPr>
            <w:r w:rsidRPr="00CE17AA">
              <w:rPr>
                <w:rFonts w:ascii="Arial" w:hAnsi="Arial" w:cs="Arial"/>
              </w:rPr>
              <w:t>64,958</w:t>
            </w:r>
          </w:p>
        </w:tc>
        <w:tc>
          <w:tcPr>
            <w:tcW w:w="731" w:type="pct"/>
          </w:tcPr>
          <w:p w14:paraId="6A1AC629" w14:textId="1D4AF7BB" w:rsidR="00CE17AA" w:rsidRPr="00CE17AA" w:rsidRDefault="00CE17AA" w:rsidP="00CE17AA">
            <w:pPr>
              <w:pStyle w:val="NormalWeb"/>
              <w:spacing w:before="2" w:after="2"/>
              <w:jc w:val="center"/>
              <w:rPr>
                <w:rFonts w:ascii="Arial" w:hAnsi="Arial" w:cs="Arial"/>
              </w:rPr>
            </w:pPr>
            <w:r w:rsidRPr="00CE17AA">
              <w:rPr>
                <w:rFonts w:ascii="Arial" w:hAnsi="Arial" w:cs="Arial"/>
              </w:rPr>
              <w:t>18,892</w:t>
            </w:r>
          </w:p>
        </w:tc>
        <w:tc>
          <w:tcPr>
            <w:tcW w:w="724" w:type="pct"/>
          </w:tcPr>
          <w:p w14:paraId="2030FCEC" w14:textId="2507D828" w:rsidR="00CE17AA" w:rsidRPr="00CE17AA" w:rsidRDefault="00CE17AA" w:rsidP="00CE17AA">
            <w:pPr>
              <w:pStyle w:val="NormalWeb"/>
              <w:spacing w:before="2" w:after="2"/>
              <w:jc w:val="center"/>
              <w:rPr>
                <w:rFonts w:ascii="Arial" w:hAnsi="Arial" w:cs="Arial"/>
              </w:rPr>
            </w:pPr>
            <w:r w:rsidRPr="00CE17AA">
              <w:rPr>
                <w:rFonts w:ascii="Arial" w:hAnsi="Arial" w:cs="Arial"/>
              </w:rPr>
              <w:t>190,319</w:t>
            </w:r>
          </w:p>
        </w:tc>
        <w:tc>
          <w:tcPr>
            <w:tcW w:w="729" w:type="pct"/>
          </w:tcPr>
          <w:p w14:paraId="12639E0A" w14:textId="3E572FB7" w:rsidR="00CE17AA" w:rsidRPr="00CE17AA" w:rsidRDefault="00CE17AA" w:rsidP="00CE17AA">
            <w:pPr>
              <w:pStyle w:val="NormalWeb"/>
              <w:spacing w:before="2" w:after="2"/>
              <w:jc w:val="center"/>
              <w:rPr>
                <w:rFonts w:ascii="Arial" w:hAnsi="Arial" w:cs="Arial"/>
              </w:rPr>
            </w:pPr>
            <w:r w:rsidRPr="00CE17AA">
              <w:rPr>
                <w:rFonts w:ascii="Arial" w:hAnsi="Arial" w:cs="Arial"/>
              </w:rPr>
              <w:t>98,568</w:t>
            </w:r>
          </w:p>
        </w:tc>
      </w:tr>
      <w:tr w:rsidR="00CE17AA" w:rsidRPr="00CE17AA" w14:paraId="085DF147" w14:textId="77777777" w:rsidTr="00CE17AA">
        <w:trPr>
          <w:jc w:val="center"/>
        </w:trPr>
        <w:tc>
          <w:tcPr>
            <w:tcW w:w="568" w:type="pct"/>
          </w:tcPr>
          <w:p w14:paraId="676C6711" w14:textId="77777777" w:rsidR="00CE17AA" w:rsidRPr="00CE17AA" w:rsidRDefault="00CE17AA" w:rsidP="00CE17AA">
            <w:pPr>
              <w:pStyle w:val="NormalWeb"/>
              <w:spacing w:before="2" w:after="2"/>
              <w:rPr>
                <w:rFonts w:ascii="Arial" w:hAnsi="Arial" w:cs="Arial"/>
              </w:rPr>
            </w:pPr>
            <w:r w:rsidRPr="00CE17AA">
              <w:rPr>
                <w:rFonts w:ascii="Arial" w:hAnsi="Arial" w:cs="Arial"/>
              </w:rPr>
              <w:t>2011</w:t>
            </w:r>
          </w:p>
        </w:tc>
        <w:tc>
          <w:tcPr>
            <w:tcW w:w="724" w:type="pct"/>
          </w:tcPr>
          <w:p w14:paraId="44BAEFE3" w14:textId="550607CC" w:rsidR="00CE17AA" w:rsidRPr="00CE17AA" w:rsidRDefault="00CE17AA" w:rsidP="00CE17AA">
            <w:pPr>
              <w:pStyle w:val="NormalWeb"/>
              <w:spacing w:before="2" w:after="2"/>
              <w:jc w:val="center"/>
              <w:rPr>
                <w:rFonts w:ascii="Arial" w:hAnsi="Arial" w:cs="Arial"/>
              </w:rPr>
            </w:pPr>
            <w:r w:rsidRPr="00CE17AA">
              <w:rPr>
                <w:rFonts w:ascii="Arial" w:hAnsi="Arial" w:cs="Arial"/>
              </w:rPr>
              <w:t>53,713</w:t>
            </w:r>
          </w:p>
        </w:tc>
        <w:tc>
          <w:tcPr>
            <w:tcW w:w="731" w:type="pct"/>
          </w:tcPr>
          <w:p w14:paraId="5291A2D8" w14:textId="588C07C9" w:rsidR="00CE17AA" w:rsidRPr="00CE17AA" w:rsidRDefault="00CE17AA" w:rsidP="00CE17AA">
            <w:pPr>
              <w:pStyle w:val="NormalWeb"/>
              <w:spacing w:before="2" w:after="2"/>
              <w:jc w:val="center"/>
              <w:rPr>
                <w:rFonts w:ascii="Arial" w:hAnsi="Arial" w:cs="Arial"/>
              </w:rPr>
            </w:pPr>
            <w:r w:rsidRPr="00CE17AA">
              <w:rPr>
                <w:rFonts w:ascii="Arial" w:hAnsi="Arial" w:cs="Arial"/>
              </w:rPr>
              <w:t>6,222</w:t>
            </w:r>
          </w:p>
        </w:tc>
        <w:tc>
          <w:tcPr>
            <w:tcW w:w="792" w:type="pct"/>
          </w:tcPr>
          <w:p w14:paraId="382107F8" w14:textId="7D7C60A6" w:rsidR="00CE17AA" w:rsidRPr="00CE17AA" w:rsidRDefault="00CE17AA" w:rsidP="00CE17AA">
            <w:pPr>
              <w:pStyle w:val="NormalWeb"/>
              <w:spacing w:before="2" w:after="2"/>
              <w:jc w:val="center"/>
              <w:rPr>
                <w:rFonts w:ascii="Arial" w:hAnsi="Arial" w:cs="Arial"/>
              </w:rPr>
            </w:pPr>
            <w:r w:rsidRPr="00CE17AA">
              <w:rPr>
                <w:rFonts w:ascii="Arial" w:hAnsi="Arial" w:cs="Arial"/>
              </w:rPr>
              <w:t>73,399</w:t>
            </w:r>
          </w:p>
        </w:tc>
        <w:tc>
          <w:tcPr>
            <w:tcW w:w="731" w:type="pct"/>
          </w:tcPr>
          <w:p w14:paraId="663B8437" w14:textId="0D8810FC" w:rsidR="00CE17AA" w:rsidRPr="00CE17AA" w:rsidRDefault="00CE17AA" w:rsidP="00CE17AA">
            <w:pPr>
              <w:pStyle w:val="NormalWeb"/>
              <w:spacing w:before="2" w:after="2"/>
              <w:jc w:val="center"/>
              <w:rPr>
                <w:rFonts w:ascii="Arial" w:hAnsi="Arial" w:cs="Arial"/>
              </w:rPr>
            </w:pPr>
            <w:r w:rsidRPr="00CE17AA">
              <w:rPr>
                <w:rFonts w:ascii="Arial" w:hAnsi="Arial" w:cs="Arial"/>
              </w:rPr>
              <w:t>18,666</w:t>
            </w:r>
          </w:p>
        </w:tc>
        <w:tc>
          <w:tcPr>
            <w:tcW w:w="724" w:type="pct"/>
          </w:tcPr>
          <w:p w14:paraId="144C2AFE" w14:textId="7D752590" w:rsidR="00CE17AA" w:rsidRPr="00CE17AA" w:rsidRDefault="00CE17AA" w:rsidP="00CE17AA">
            <w:pPr>
              <w:pStyle w:val="NormalWeb"/>
              <w:spacing w:before="2" w:after="2"/>
              <w:jc w:val="center"/>
              <w:rPr>
                <w:rFonts w:ascii="Arial" w:hAnsi="Arial" w:cs="Arial"/>
              </w:rPr>
            </w:pPr>
            <w:r w:rsidRPr="00CE17AA">
              <w:rPr>
                <w:rFonts w:ascii="Arial" w:hAnsi="Arial" w:cs="Arial"/>
              </w:rPr>
              <w:t>244,848</w:t>
            </w:r>
          </w:p>
        </w:tc>
        <w:tc>
          <w:tcPr>
            <w:tcW w:w="729" w:type="pct"/>
          </w:tcPr>
          <w:p w14:paraId="491A1329" w14:textId="325ABA76" w:rsidR="00CE17AA" w:rsidRPr="00CE17AA" w:rsidRDefault="00CE17AA" w:rsidP="00CE17AA">
            <w:pPr>
              <w:pStyle w:val="NormalWeb"/>
              <w:spacing w:before="2" w:after="2"/>
              <w:jc w:val="center"/>
              <w:rPr>
                <w:rFonts w:ascii="Arial" w:hAnsi="Arial" w:cs="Arial"/>
              </w:rPr>
            </w:pPr>
            <w:r w:rsidRPr="00CE17AA">
              <w:rPr>
                <w:rFonts w:ascii="Arial" w:hAnsi="Arial" w:cs="Arial"/>
              </w:rPr>
              <w:t>131,313</w:t>
            </w:r>
          </w:p>
        </w:tc>
      </w:tr>
      <w:tr w:rsidR="00CE17AA" w:rsidRPr="00CE17AA" w14:paraId="0B88DE13" w14:textId="77777777" w:rsidTr="00CE17AA">
        <w:trPr>
          <w:jc w:val="center"/>
        </w:trPr>
        <w:tc>
          <w:tcPr>
            <w:tcW w:w="568" w:type="pct"/>
          </w:tcPr>
          <w:p w14:paraId="16FDDB0E" w14:textId="77777777" w:rsidR="00CE17AA" w:rsidRPr="00CE17AA" w:rsidRDefault="00CE17AA" w:rsidP="00CE17AA">
            <w:pPr>
              <w:pStyle w:val="NormalWeb"/>
              <w:spacing w:before="2" w:after="2"/>
              <w:rPr>
                <w:rFonts w:ascii="Arial" w:hAnsi="Arial" w:cs="Arial"/>
              </w:rPr>
            </w:pPr>
            <w:r w:rsidRPr="00CE17AA">
              <w:rPr>
                <w:rFonts w:ascii="Arial" w:hAnsi="Arial" w:cs="Arial"/>
              </w:rPr>
              <w:t>2012</w:t>
            </w:r>
          </w:p>
        </w:tc>
        <w:tc>
          <w:tcPr>
            <w:tcW w:w="724" w:type="pct"/>
          </w:tcPr>
          <w:p w14:paraId="23C96CA6" w14:textId="4576A086" w:rsidR="00CE17AA" w:rsidRPr="00CE17AA" w:rsidRDefault="00CE17AA" w:rsidP="00CE17AA">
            <w:pPr>
              <w:pStyle w:val="NormalWeb"/>
              <w:spacing w:before="2" w:after="2"/>
              <w:jc w:val="center"/>
              <w:rPr>
                <w:rFonts w:ascii="Arial" w:hAnsi="Arial" w:cs="Arial"/>
              </w:rPr>
            </w:pPr>
            <w:r w:rsidRPr="00CE17AA">
              <w:rPr>
                <w:rFonts w:ascii="Arial" w:hAnsi="Arial" w:cs="Arial"/>
              </w:rPr>
              <w:t>57,332</w:t>
            </w:r>
          </w:p>
        </w:tc>
        <w:tc>
          <w:tcPr>
            <w:tcW w:w="731" w:type="pct"/>
          </w:tcPr>
          <w:p w14:paraId="0159D781" w14:textId="5897AB83" w:rsidR="00CE17AA" w:rsidRPr="00CE17AA" w:rsidRDefault="00CE17AA" w:rsidP="00CE17AA">
            <w:pPr>
              <w:pStyle w:val="NormalWeb"/>
              <w:spacing w:before="2" w:after="2"/>
              <w:jc w:val="center"/>
              <w:rPr>
                <w:rFonts w:ascii="Arial" w:hAnsi="Arial" w:cs="Arial"/>
              </w:rPr>
            </w:pPr>
            <w:r w:rsidRPr="00CE17AA">
              <w:rPr>
                <w:rFonts w:ascii="Arial" w:hAnsi="Arial" w:cs="Arial"/>
              </w:rPr>
              <w:t>5,890</w:t>
            </w:r>
          </w:p>
        </w:tc>
        <w:tc>
          <w:tcPr>
            <w:tcW w:w="792" w:type="pct"/>
          </w:tcPr>
          <w:p w14:paraId="6EAD1001" w14:textId="6729AC7E" w:rsidR="00CE17AA" w:rsidRPr="00CE17AA" w:rsidRDefault="00CE17AA" w:rsidP="00CE17AA">
            <w:pPr>
              <w:pStyle w:val="NormalWeb"/>
              <w:spacing w:before="2" w:after="2"/>
              <w:jc w:val="center"/>
              <w:rPr>
                <w:rFonts w:ascii="Arial" w:hAnsi="Arial" w:cs="Arial"/>
              </w:rPr>
            </w:pPr>
            <w:r w:rsidRPr="00CE17AA">
              <w:rPr>
                <w:rFonts w:ascii="Arial" w:hAnsi="Arial" w:cs="Arial"/>
              </w:rPr>
              <w:t>70,907</w:t>
            </w:r>
          </w:p>
        </w:tc>
        <w:tc>
          <w:tcPr>
            <w:tcW w:w="731" w:type="pct"/>
          </w:tcPr>
          <w:p w14:paraId="004BF3A6" w14:textId="43A58DC2" w:rsidR="00CE17AA" w:rsidRPr="00CE17AA" w:rsidRDefault="00CE17AA" w:rsidP="00CE17AA">
            <w:pPr>
              <w:pStyle w:val="NormalWeb"/>
              <w:spacing w:before="2" w:after="2"/>
              <w:jc w:val="center"/>
              <w:rPr>
                <w:rFonts w:ascii="Arial" w:hAnsi="Arial" w:cs="Arial"/>
              </w:rPr>
            </w:pPr>
            <w:r w:rsidRPr="00CE17AA">
              <w:rPr>
                <w:rFonts w:ascii="Arial" w:hAnsi="Arial" w:cs="Arial"/>
              </w:rPr>
              <w:t>20,010</w:t>
            </w:r>
          </w:p>
        </w:tc>
        <w:tc>
          <w:tcPr>
            <w:tcW w:w="724" w:type="pct"/>
          </w:tcPr>
          <w:p w14:paraId="7CCEDAED" w14:textId="3BB562FF" w:rsidR="00CE17AA" w:rsidRPr="00CE17AA" w:rsidRDefault="00CE17AA" w:rsidP="00CE17AA">
            <w:pPr>
              <w:pStyle w:val="NormalWeb"/>
              <w:spacing w:before="2" w:after="2"/>
              <w:jc w:val="center"/>
              <w:rPr>
                <w:rFonts w:ascii="Arial" w:hAnsi="Arial" w:cs="Arial"/>
              </w:rPr>
            </w:pPr>
            <w:r w:rsidRPr="00CE17AA">
              <w:rPr>
                <w:rFonts w:ascii="Arial" w:hAnsi="Arial" w:cs="Arial"/>
              </w:rPr>
              <w:t>226,526</w:t>
            </w:r>
          </w:p>
        </w:tc>
        <w:tc>
          <w:tcPr>
            <w:tcW w:w="729" w:type="pct"/>
          </w:tcPr>
          <w:p w14:paraId="26B1BC13" w14:textId="766BC30C" w:rsidR="00CE17AA" w:rsidRPr="00CE17AA" w:rsidRDefault="00CE17AA" w:rsidP="00CE17AA">
            <w:pPr>
              <w:pStyle w:val="NormalWeb"/>
              <w:spacing w:before="2" w:after="2"/>
              <w:jc w:val="center"/>
              <w:rPr>
                <w:rFonts w:ascii="Arial" w:hAnsi="Arial" w:cs="Arial"/>
              </w:rPr>
            </w:pPr>
            <w:r w:rsidRPr="00CE17AA">
              <w:rPr>
                <w:rFonts w:ascii="Arial" w:hAnsi="Arial" w:cs="Arial"/>
              </w:rPr>
              <w:t>127,507</w:t>
            </w:r>
          </w:p>
        </w:tc>
      </w:tr>
      <w:tr w:rsidR="00CE17AA" w:rsidRPr="00CE17AA" w14:paraId="59F9EA10" w14:textId="77777777" w:rsidTr="00CE17AA">
        <w:trPr>
          <w:jc w:val="center"/>
        </w:trPr>
        <w:tc>
          <w:tcPr>
            <w:tcW w:w="568" w:type="pct"/>
          </w:tcPr>
          <w:p w14:paraId="1CBC4915" w14:textId="77777777" w:rsidR="00CE17AA" w:rsidRPr="00CE17AA" w:rsidRDefault="00CE17AA" w:rsidP="00CE17AA">
            <w:pPr>
              <w:pStyle w:val="NormalWeb"/>
              <w:spacing w:before="2" w:after="2"/>
              <w:rPr>
                <w:rFonts w:ascii="Arial" w:hAnsi="Arial" w:cs="Arial"/>
              </w:rPr>
            </w:pPr>
            <w:r w:rsidRPr="00CE17AA">
              <w:rPr>
                <w:rFonts w:ascii="Arial" w:hAnsi="Arial" w:cs="Arial"/>
              </w:rPr>
              <w:t>2013</w:t>
            </w:r>
          </w:p>
        </w:tc>
        <w:tc>
          <w:tcPr>
            <w:tcW w:w="724" w:type="pct"/>
          </w:tcPr>
          <w:p w14:paraId="7E4C7DB9" w14:textId="5C733849" w:rsidR="00CE17AA" w:rsidRPr="00CE17AA" w:rsidRDefault="00CE17AA" w:rsidP="00CE17AA">
            <w:pPr>
              <w:pStyle w:val="NormalWeb"/>
              <w:spacing w:before="2" w:after="2"/>
              <w:jc w:val="center"/>
              <w:rPr>
                <w:rFonts w:ascii="Arial" w:hAnsi="Arial" w:cs="Arial"/>
              </w:rPr>
            </w:pPr>
            <w:r w:rsidRPr="00CE17AA">
              <w:rPr>
                <w:rFonts w:ascii="Arial" w:hAnsi="Arial" w:cs="Arial"/>
              </w:rPr>
              <w:t>62,820</w:t>
            </w:r>
          </w:p>
        </w:tc>
        <w:tc>
          <w:tcPr>
            <w:tcW w:w="731" w:type="pct"/>
          </w:tcPr>
          <w:p w14:paraId="57800CE7" w14:textId="6A4D6C4C" w:rsidR="00CE17AA" w:rsidRPr="00CE17AA" w:rsidRDefault="00CE17AA" w:rsidP="00CE17AA">
            <w:pPr>
              <w:pStyle w:val="NormalWeb"/>
              <w:spacing w:before="2" w:after="2"/>
              <w:jc w:val="center"/>
              <w:rPr>
                <w:rFonts w:ascii="Arial" w:hAnsi="Arial" w:cs="Arial"/>
              </w:rPr>
            </w:pPr>
            <w:r w:rsidRPr="00CE17AA">
              <w:rPr>
                <w:rFonts w:ascii="Arial" w:hAnsi="Arial" w:cs="Arial"/>
              </w:rPr>
              <w:t>6,486</w:t>
            </w:r>
          </w:p>
        </w:tc>
        <w:tc>
          <w:tcPr>
            <w:tcW w:w="792" w:type="pct"/>
          </w:tcPr>
          <w:p w14:paraId="667BECEE" w14:textId="436E152F" w:rsidR="00CE17AA" w:rsidRPr="00CE17AA" w:rsidRDefault="00CE17AA" w:rsidP="00CE17AA">
            <w:pPr>
              <w:pStyle w:val="NormalWeb"/>
              <w:spacing w:before="2" w:after="2"/>
              <w:jc w:val="center"/>
              <w:rPr>
                <w:rFonts w:ascii="Arial" w:hAnsi="Arial" w:cs="Arial"/>
              </w:rPr>
            </w:pPr>
            <w:r w:rsidRPr="00CE17AA">
              <w:rPr>
                <w:rFonts w:ascii="Arial" w:hAnsi="Arial" w:cs="Arial"/>
              </w:rPr>
              <w:t>81,190</w:t>
            </w:r>
          </w:p>
        </w:tc>
        <w:tc>
          <w:tcPr>
            <w:tcW w:w="731" w:type="pct"/>
          </w:tcPr>
          <w:p w14:paraId="3B3D5FB2" w14:textId="497019D0" w:rsidR="00CE17AA" w:rsidRPr="00CE17AA" w:rsidRDefault="00CE17AA" w:rsidP="00CE17AA">
            <w:pPr>
              <w:pStyle w:val="NormalWeb"/>
              <w:spacing w:before="2" w:after="2"/>
              <w:jc w:val="center"/>
              <w:rPr>
                <w:rFonts w:ascii="Arial" w:hAnsi="Arial" w:cs="Arial"/>
              </w:rPr>
            </w:pPr>
            <w:r w:rsidRPr="00CE17AA">
              <w:rPr>
                <w:rFonts w:ascii="Arial" w:hAnsi="Arial" w:cs="Arial"/>
              </w:rPr>
              <w:t>24,251</w:t>
            </w:r>
          </w:p>
        </w:tc>
        <w:tc>
          <w:tcPr>
            <w:tcW w:w="724" w:type="pct"/>
          </w:tcPr>
          <w:p w14:paraId="3C8D0575" w14:textId="183C1178" w:rsidR="00CE17AA" w:rsidRPr="00CE17AA" w:rsidRDefault="00CE17AA" w:rsidP="00CE17AA">
            <w:pPr>
              <w:pStyle w:val="NormalWeb"/>
              <w:spacing w:before="2" w:after="2"/>
              <w:jc w:val="center"/>
              <w:rPr>
                <w:rFonts w:ascii="Arial" w:hAnsi="Arial" w:cs="Arial"/>
              </w:rPr>
            </w:pPr>
            <w:r w:rsidRPr="00CE17AA">
              <w:rPr>
                <w:rFonts w:ascii="Arial" w:hAnsi="Arial" w:cs="Arial"/>
              </w:rPr>
              <w:t>246,387</w:t>
            </w:r>
          </w:p>
        </w:tc>
        <w:tc>
          <w:tcPr>
            <w:tcW w:w="729" w:type="pct"/>
          </w:tcPr>
          <w:p w14:paraId="09173286" w14:textId="12416C13" w:rsidR="00CE17AA" w:rsidRPr="00CE17AA" w:rsidRDefault="00CE17AA" w:rsidP="00CE17AA">
            <w:pPr>
              <w:pStyle w:val="NormalWeb"/>
              <w:spacing w:before="2" w:after="2"/>
              <w:jc w:val="center"/>
              <w:rPr>
                <w:rFonts w:ascii="Arial" w:hAnsi="Arial" w:cs="Arial"/>
              </w:rPr>
            </w:pPr>
            <w:r w:rsidRPr="00CE17AA">
              <w:rPr>
                <w:rFonts w:ascii="Arial" w:hAnsi="Arial" w:cs="Arial"/>
              </w:rPr>
              <w:t>131,669</w:t>
            </w:r>
          </w:p>
        </w:tc>
      </w:tr>
      <w:tr w:rsidR="00CE17AA" w:rsidRPr="00CE17AA" w14:paraId="1ADA7762" w14:textId="77777777" w:rsidTr="00CE17AA">
        <w:trPr>
          <w:jc w:val="center"/>
        </w:trPr>
        <w:tc>
          <w:tcPr>
            <w:tcW w:w="568" w:type="pct"/>
          </w:tcPr>
          <w:p w14:paraId="6395482B" w14:textId="77777777" w:rsidR="00CE17AA" w:rsidRPr="00CE17AA" w:rsidRDefault="00CE17AA" w:rsidP="00CE17AA">
            <w:pPr>
              <w:pStyle w:val="NormalWeb"/>
              <w:spacing w:before="2" w:after="2"/>
              <w:rPr>
                <w:rFonts w:ascii="Arial" w:hAnsi="Arial" w:cs="Arial"/>
              </w:rPr>
            </w:pPr>
            <w:r w:rsidRPr="00CE17AA">
              <w:rPr>
                <w:rFonts w:ascii="Arial" w:hAnsi="Arial" w:cs="Arial"/>
              </w:rPr>
              <w:t>2014</w:t>
            </w:r>
          </w:p>
        </w:tc>
        <w:tc>
          <w:tcPr>
            <w:tcW w:w="724" w:type="pct"/>
          </w:tcPr>
          <w:p w14:paraId="70FE8A16" w14:textId="77CD9E70" w:rsidR="00CE17AA" w:rsidRPr="00CE17AA" w:rsidRDefault="00CE17AA" w:rsidP="00CE17AA">
            <w:pPr>
              <w:pStyle w:val="NormalWeb"/>
              <w:spacing w:before="2" w:after="2"/>
              <w:jc w:val="center"/>
              <w:rPr>
                <w:rFonts w:ascii="Arial" w:hAnsi="Arial" w:cs="Arial"/>
              </w:rPr>
            </w:pPr>
            <w:r w:rsidRPr="00CE17AA">
              <w:rPr>
                <w:rFonts w:ascii="Arial" w:hAnsi="Arial" w:cs="Arial"/>
              </w:rPr>
              <w:t>42,402</w:t>
            </w:r>
          </w:p>
        </w:tc>
        <w:tc>
          <w:tcPr>
            <w:tcW w:w="731" w:type="pct"/>
          </w:tcPr>
          <w:p w14:paraId="7004607B" w14:textId="1F0746C1" w:rsidR="00CE17AA" w:rsidRPr="00CE17AA" w:rsidRDefault="00CE17AA" w:rsidP="00CE17AA">
            <w:pPr>
              <w:pStyle w:val="NormalWeb"/>
              <w:spacing w:before="2" w:after="2"/>
              <w:jc w:val="center"/>
              <w:rPr>
                <w:rFonts w:ascii="Arial" w:hAnsi="Arial" w:cs="Arial"/>
              </w:rPr>
            </w:pPr>
            <w:r w:rsidRPr="00CE17AA">
              <w:rPr>
                <w:rFonts w:ascii="Arial" w:hAnsi="Arial" w:cs="Arial"/>
              </w:rPr>
              <w:t>4,721</w:t>
            </w:r>
          </w:p>
        </w:tc>
        <w:tc>
          <w:tcPr>
            <w:tcW w:w="792" w:type="pct"/>
          </w:tcPr>
          <w:p w14:paraId="72F63D80" w14:textId="1BD5D051" w:rsidR="00CE17AA" w:rsidRPr="00CE17AA" w:rsidRDefault="00CE17AA" w:rsidP="00CE17AA">
            <w:pPr>
              <w:pStyle w:val="NormalWeb"/>
              <w:spacing w:before="2" w:after="2"/>
              <w:jc w:val="center"/>
              <w:rPr>
                <w:rFonts w:ascii="Arial" w:hAnsi="Arial" w:cs="Arial"/>
              </w:rPr>
            </w:pPr>
            <w:r w:rsidRPr="00CE17AA">
              <w:rPr>
                <w:rFonts w:ascii="Arial" w:hAnsi="Arial" w:cs="Arial"/>
              </w:rPr>
              <w:t>50,494</w:t>
            </w:r>
          </w:p>
        </w:tc>
        <w:tc>
          <w:tcPr>
            <w:tcW w:w="731" w:type="pct"/>
          </w:tcPr>
          <w:p w14:paraId="6BA24A36" w14:textId="0835BFEC" w:rsidR="00CE17AA" w:rsidRPr="00CE17AA" w:rsidRDefault="00CE17AA" w:rsidP="00CE17AA">
            <w:pPr>
              <w:pStyle w:val="NormalWeb"/>
              <w:spacing w:before="2" w:after="2"/>
              <w:jc w:val="center"/>
              <w:rPr>
                <w:rFonts w:ascii="Arial" w:hAnsi="Arial" w:cs="Arial"/>
              </w:rPr>
            </w:pPr>
            <w:r w:rsidRPr="00CE17AA">
              <w:rPr>
                <w:rFonts w:ascii="Arial" w:hAnsi="Arial" w:cs="Arial"/>
              </w:rPr>
              <w:t>18,799</w:t>
            </w:r>
          </w:p>
        </w:tc>
        <w:tc>
          <w:tcPr>
            <w:tcW w:w="724" w:type="pct"/>
          </w:tcPr>
          <w:p w14:paraId="4C05FD6A" w14:textId="3ED41276" w:rsidR="00CE17AA" w:rsidRPr="00CE17AA" w:rsidRDefault="00CE17AA" w:rsidP="00CE17AA">
            <w:pPr>
              <w:pStyle w:val="NormalWeb"/>
              <w:spacing w:before="2" w:after="2"/>
              <w:jc w:val="center"/>
              <w:rPr>
                <w:rFonts w:ascii="Arial" w:hAnsi="Arial" w:cs="Arial"/>
              </w:rPr>
            </w:pPr>
            <w:r w:rsidRPr="00CE17AA">
              <w:rPr>
                <w:rFonts w:ascii="Arial" w:hAnsi="Arial" w:cs="Arial"/>
              </w:rPr>
              <w:t>140,574</w:t>
            </w:r>
          </w:p>
        </w:tc>
        <w:tc>
          <w:tcPr>
            <w:tcW w:w="729" w:type="pct"/>
          </w:tcPr>
          <w:p w14:paraId="1CD7B8D5" w14:textId="52DF288B" w:rsidR="00CE17AA" w:rsidRPr="00CE17AA" w:rsidRDefault="00CE17AA" w:rsidP="00CE17AA">
            <w:pPr>
              <w:pStyle w:val="NormalWeb"/>
              <w:spacing w:before="2" w:after="2"/>
              <w:jc w:val="center"/>
              <w:rPr>
                <w:rFonts w:ascii="Arial" w:hAnsi="Arial" w:cs="Arial"/>
              </w:rPr>
            </w:pPr>
            <w:r w:rsidRPr="00CE17AA">
              <w:rPr>
                <w:rFonts w:ascii="Arial" w:hAnsi="Arial" w:cs="Arial"/>
              </w:rPr>
              <w:t>94,318</w:t>
            </w:r>
          </w:p>
        </w:tc>
      </w:tr>
      <w:tr w:rsidR="00CE17AA" w:rsidRPr="00CE17AA" w14:paraId="15ABFEA2" w14:textId="77777777" w:rsidTr="00CE17AA">
        <w:trPr>
          <w:jc w:val="center"/>
        </w:trPr>
        <w:tc>
          <w:tcPr>
            <w:tcW w:w="568" w:type="pct"/>
          </w:tcPr>
          <w:p w14:paraId="4A22A053" w14:textId="77777777" w:rsidR="00CE17AA" w:rsidRPr="00CE17AA" w:rsidRDefault="00CE17AA" w:rsidP="00CE17AA">
            <w:pPr>
              <w:pStyle w:val="NormalWeb"/>
              <w:spacing w:before="2" w:after="2"/>
              <w:rPr>
                <w:rFonts w:ascii="Arial" w:hAnsi="Arial" w:cs="Arial"/>
              </w:rPr>
            </w:pPr>
            <w:r w:rsidRPr="00CE17AA">
              <w:rPr>
                <w:rFonts w:ascii="Arial" w:hAnsi="Arial" w:cs="Arial"/>
              </w:rPr>
              <w:t>Total</w:t>
            </w:r>
          </w:p>
        </w:tc>
        <w:tc>
          <w:tcPr>
            <w:tcW w:w="724" w:type="pct"/>
          </w:tcPr>
          <w:p w14:paraId="2D6D730F" w14:textId="21A8BEBE" w:rsidR="00CE17AA" w:rsidRPr="00CE17AA" w:rsidRDefault="00CE17AA" w:rsidP="00CE17AA">
            <w:pPr>
              <w:pStyle w:val="NormalWeb"/>
              <w:spacing w:before="2" w:after="2"/>
              <w:jc w:val="center"/>
              <w:rPr>
                <w:rFonts w:ascii="Arial" w:hAnsi="Arial" w:cs="Arial"/>
              </w:rPr>
            </w:pPr>
            <w:r w:rsidRPr="00CE17AA">
              <w:rPr>
                <w:rFonts w:ascii="Arial" w:hAnsi="Arial" w:cs="Arial"/>
              </w:rPr>
              <w:t>258,737</w:t>
            </w:r>
          </w:p>
        </w:tc>
        <w:tc>
          <w:tcPr>
            <w:tcW w:w="731" w:type="pct"/>
          </w:tcPr>
          <w:p w14:paraId="5AE3D74C" w14:textId="5AB35AE9" w:rsidR="00CE17AA" w:rsidRPr="00CE17AA" w:rsidRDefault="00CE17AA" w:rsidP="00CE17AA">
            <w:pPr>
              <w:pStyle w:val="NormalWeb"/>
              <w:spacing w:before="2" w:after="2"/>
              <w:jc w:val="center"/>
              <w:rPr>
                <w:rFonts w:ascii="Arial" w:hAnsi="Arial" w:cs="Arial"/>
              </w:rPr>
            </w:pPr>
            <w:r w:rsidRPr="00CE17AA">
              <w:rPr>
                <w:rFonts w:ascii="Arial" w:hAnsi="Arial" w:cs="Arial"/>
              </w:rPr>
              <w:t>28,646</w:t>
            </w:r>
          </w:p>
        </w:tc>
        <w:tc>
          <w:tcPr>
            <w:tcW w:w="792" w:type="pct"/>
          </w:tcPr>
          <w:p w14:paraId="71C75812" w14:textId="5AA13006" w:rsidR="00CE17AA" w:rsidRPr="00CE17AA" w:rsidRDefault="00CE17AA" w:rsidP="00CE17AA">
            <w:pPr>
              <w:pStyle w:val="NormalWeb"/>
              <w:spacing w:before="2" w:after="2"/>
              <w:jc w:val="center"/>
              <w:rPr>
                <w:rFonts w:ascii="Arial" w:hAnsi="Arial" w:cs="Arial"/>
              </w:rPr>
            </w:pPr>
            <w:r w:rsidRPr="00CE17AA">
              <w:rPr>
                <w:rFonts w:ascii="Arial" w:hAnsi="Arial" w:cs="Arial"/>
              </w:rPr>
              <w:t>340,948</w:t>
            </w:r>
          </w:p>
        </w:tc>
        <w:tc>
          <w:tcPr>
            <w:tcW w:w="731" w:type="pct"/>
          </w:tcPr>
          <w:p w14:paraId="078AA619" w14:textId="77258C76" w:rsidR="00CE17AA" w:rsidRPr="00CE17AA" w:rsidRDefault="00CE17AA" w:rsidP="00CE17AA">
            <w:pPr>
              <w:pStyle w:val="NormalWeb"/>
              <w:spacing w:before="2" w:after="2"/>
              <w:jc w:val="center"/>
              <w:rPr>
                <w:rFonts w:ascii="Arial" w:hAnsi="Arial" w:cs="Arial"/>
              </w:rPr>
            </w:pPr>
            <w:r w:rsidRPr="00CE17AA">
              <w:rPr>
                <w:rFonts w:ascii="Arial" w:hAnsi="Arial" w:cs="Arial"/>
              </w:rPr>
              <w:t>100,618</w:t>
            </w:r>
          </w:p>
        </w:tc>
        <w:tc>
          <w:tcPr>
            <w:tcW w:w="724" w:type="pct"/>
          </w:tcPr>
          <w:p w14:paraId="6D12D4C9" w14:textId="3BB586E8" w:rsidR="00CE17AA" w:rsidRPr="00CE17AA" w:rsidRDefault="00CE17AA" w:rsidP="00CE17AA">
            <w:pPr>
              <w:pStyle w:val="NormalWeb"/>
              <w:spacing w:before="2" w:after="2"/>
              <w:jc w:val="center"/>
              <w:rPr>
                <w:rFonts w:ascii="Arial" w:hAnsi="Arial" w:cs="Arial"/>
              </w:rPr>
            </w:pPr>
            <w:r w:rsidRPr="00CE17AA">
              <w:rPr>
                <w:rFonts w:ascii="Arial" w:hAnsi="Arial" w:cs="Arial"/>
              </w:rPr>
              <w:t>1,048,655</w:t>
            </w:r>
          </w:p>
        </w:tc>
        <w:tc>
          <w:tcPr>
            <w:tcW w:w="729" w:type="pct"/>
          </w:tcPr>
          <w:p w14:paraId="067A1CB5" w14:textId="6D4E8708" w:rsidR="00CE17AA" w:rsidRPr="00CE17AA" w:rsidRDefault="00CE17AA" w:rsidP="00CE17AA">
            <w:pPr>
              <w:pStyle w:val="NormalWeb"/>
              <w:spacing w:before="2" w:after="2"/>
              <w:jc w:val="center"/>
              <w:rPr>
                <w:rFonts w:ascii="Arial" w:hAnsi="Arial" w:cs="Arial"/>
              </w:rPr>
            </w:pPr>
            <w:r w:rsidRPr="00CE17AA">
              <w:rPr>
                <w:rFonts w:ascii="Arial" w:hAnsi="Arial" w:cs="Arial"/>
              </w:rPr>
              <w:t>583,375</w:t>
            </w:r>
          </w:p>
        </w:tc>
      </w:tr>
    </w:tbl>
    <w:p w14:paraId="34FF7E7B" w14:textId="77777777" w:rsidR="00CE17AA" w:rsidRDefault="00CE17AA" w:rsidP="00EB2031">
      <w:pPr>
        <w:pStyle w:val="NormalWeb"/>
        <w:spacing w:before="2" w:after="2"/>
        <w:rPr>
          <w:rFonts w:ascii="Arial" w:hAnsi="Arial" w:cs="Arial"/>
        </w:rPr>
      </w:pPr>
    </w:p>
    <w:tbl>
      <w:tblPr>
        <w:tblStyle w:val="TableGrid"/>
        <w:tblW w:w="0" w:type="auto"/>
        <w:tblLook w:val="04A0" w:firstRow="1" w:lastRow="0" w:firstColumn="1" w:lastColumn="0" w:noHBand="0" w:noVBand="1"/>
      </w:tblPr>
      <w:tblGrid>
        <w:gridCol w:w="2320"/>
        <w:gridCol w:w="2320"/>
        <w:gridCol w:w="2320"/>
        <w:gridCol w:w="2320"/>
      </w:tblGrid>
      <w:tr w:rsidR="00CE17AA" w:rsidRPr="00CE17AA" w14:paraId="689E2DF9" w14:textId="77777777" w:rsidTr="00CE17AA">
        <w:tc>
          <w:tcPr>
            <w:tcW w:w="9280" w:type="dxa"/>
            <w:gridSpan w:val="4"/>
            <w:shd w:val="clear" w:color="auto" w:fill="DAEEF3" w:themeFill="accent5" w:themeFillTint="33"/>
          </w:tcPr>
          <w:p w14:paraId="05FA265B" w14:textId="74E50AD8" w:rsidR="00CE17AA" w:rsidRPr="00CE17AA" w:rsidRDefault="00CE17AA" w:rsidP="00EB2031">
            <w:pPr>
              <w:pStyle w:val="NormalWeb"/>
              <w:spacing w:before="2" w:after="2"/>
              <w:rPr>
                <w:rFonts w:ascii="Arial" w:hAnsi="Arial" w:cs="Arial"/>
              </w:rPr>
            </w:pPr>
            <w:r w:rsidRPr="00CE17AA">
              <w:rPr>
                <w:rFonts w:ascii="Arial" w:hAnsi="Arial" w:cs="Arial"/>
              </w:rPr>
              <w:t>Grand Total of Net Allocations and Mineral Derivation</w:t>
            </w:r>
          </w:p>
        </w:tc>
      </w:tr>
      <w:tr w:rsidR="00CE17AA" w:rsidRPr="00CE17AA" w14:paraId="1B1111CB" w14:textId="77777777" w:rsidTr="00CE17AA">
        <w:trPr>
          <w:trHeight w:val="74"/>
        </w:trPr>
        <w:tc>
          <w:tcPr>
            <w:tcW w:w="2320" w:type="dxa"/>
            <w:vAlign w:val="bottom"/>
          </w:tcPr>
          <w:p w14:paraId="17569D26" w14:textId="77777777" w:rsidR="00CE17AA" w:rsidRPr="00CE17AA" w:rsidRDefault="00CE17AA" w:rsidP="00EB2031">
            <w:pPr>
              <w:pStyle w:val="NormalWeb"/>
              <w:spacing w:before="2" w:after="2"/>
              <w:rPr>
                <w:rFonts w:ascii="Arial" w:hAnsi="Arial" w:cs="Arial"/>
              </w:rPr>
            </w:pPr>
          </w:p>
        </w:tc>
        <w:tc>
          <w:tcPr>
            <w:tcW w:w="2320" w:type="dxa"/>
          </w:tcPr>
          <w:p w14:paraId="70D77FA9" w14:textId="61F9D564" w:rsidR="00CE17AA" w:rsidRPr="00CE17AA" w:rsidRDefault="00CE17AA" w:rsidP="00CE17AA">
            <w:pPr>
              <w:pStyle w:val="NormalWeb"/>
              <w:spacing w:before="2" w:after="2"/>
              <w:jc w:val="center"/>
              <w:rPr>
                <w:rFonts w:ascii="Arial" w:hAnsi="Arial" w:cs="Arial"/>
              </w:rPr>
            </w:pPr>
            <w:r w:rsidRPr="00CE17AA">
              <w:rPr>
                <w:rFonts w:ascii="Arial" w:hAnsi="Arial" w:cs="Arial"/>
              </w:rPr>
              <w:t>Net Allocation (N'million)</w:t>
            </w:r>
          </w:p>
        </w:tc>
        <w:tc>
          <w:tcPr>
            <w:tcW w:w="2320" w:type="dxa"/>
          </w:tcPr>
          <w:p w14:paraId="164973D4" w14:textId="487C4D59"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Derivation (N'million)</w:t>
            </w:r>
          </w:p>
        </w:tc>
        <w:tc>
          <w:tcPr>
            <w:tcW w:w="2320" w:type="dxa"/>
            <w:vAlign w:val="bottom"/>
          </w:tcPr>
          <w:p w14:paraId="1AED4231" w14:textId="63B01803" w:rsidR="00CE17AA" w:rsidRPr="00CE17AA" w:rsidRDefault="00CE17AA" w:rsidP="00CE17AA">
            <w:pPr>
              <w:pStyle w:val="NormalWeb"/>
              <w:spacing w:before="2" w:after="2"/>
              <w:jc w:val="center"/>
              <w:rPr>
                <w:rFonts w:ascii="Arial" w:hAnsi="Arial" w:cs="Arial"/>
              </w:rPr>
            </w:pPr>
            <w:r w:rsidRPr="00CE17AA">
              <w:rPr>
                <w:rFonts w:ascii="Arial" w:hAnsi="Arial" w:cs="Arial"/>
              </w:rPr>
              <w:t>Mineral Derivative as percentage of net allocation%</w:t>
            </w:r>
          </w:p>
        </w:tc>
      </w:tr>
      <w:tr w:rsidR="00CE17AA" w:rsidRPr="00CE17AA" w14:paraId="43F5A143" w14:textId="77777777" w:rsidTr="00CE17AA">
        <w:tc>
          <w:tcPr>
            <w:tcW w:w="2320" w:type="dxa"/>
            <w:vAlign w:val="center"/>
          </w:tcPr>
          <w:p w14:paraId="78E450DD" w14:textId="75960C45" w:rsidR="00CE17AA" w:rsidRPr="00CE17AA" w:rsidRDefault="00CE17AA" w:rsidP="00EB2031">
            <w:pPr>
              <w:pStyle w:val="NormalWeb"/>
              <w:spacing w:before="2" w:after="2"/>
              <w:rPr>
                <w:rFonts w:ascii="Arial" w:hAnsi="Arial" w:cs="Arial"/>
              </w:rPr>
            </w:pPr>
            <w:r w:rsidRPr="00CE17AA">
              <w:rPr>
                <w:rFonts w:ascii="Arial" w:hAnsi="Arial" w:cs="Arial"/>
              </w:rPr>
              <w:t>Grand Total</w:t>
            </w:r>
          </w:p>
        </w:tc>
        <w:tc>
          <w:tcPr>
            <w:tcW w:w="2320" w:type="dxa"/>
            <w:vAlign w:val="center"/>
          </w:tcPr>
          <w:p w14:paraId="69FF305C" w14:textId="1861A376" w:rsidR="00CE17AA" w:rsidRPr="00CE17AA" w:rsidRDefault="00CE17AA" w:rsidP="00CE17AA">
            <w:pPr>
              <w:pStyle w:val="NormalWeb"/>
              <w:spacing w:before="2" w:after="2"/>
              <w:jc w:val="center"/>
              <w:rPr>
                <w:rFonts w:ascii="Arial" w:hAnsi="Arial" w:cs="Arial"/>
              </w:rPr>
            </w:pPr>
            <w:r w:rsidRPr="00CE17AA">
              <w:rPr>
                <w:rFonts w:ascii="Arial" w:hAnsi="Arial" w:cs="Arial"/>
              </w:rPr>
              <w:t>5,230,932</w:t>
            </w:r>
          </w:p>
        </w:tc>
        <w:tc>
          <w:tcPr>
            <w:tcW w:w="2320" w:type="dxa"/>
            <w:vAlign w:val="center"/>
          </w:tcPr>
          <w:p w14:paraId="7DEF1FD8" w14:textId="74C8AB06" w:rsidR="00CE17AA" w:rsidRPr="00CE17AA" w:rsidRDefault="00CE17AA" w:rsidP="00CE17AA">
            <w:pPr>
              <w:pStyle w:val="NormalWeb"/>
              <w:spacing w:before="2" w:after="2"/>
              <w:jc w:val="center"/>
              <w:rPr>
                <w:rFonts w:ascii="Arial" w:hAnsi="Arial" w:cs="Arial"/>
              </w:rPr>
            </w:pPr>
            <w:r w:rsidRPr="00CE17AA">
              <w:rPr>
                <w:rFonts w:ascii="Arial" w:hAnsi="Arial" w:cs="Arial"/>
              </w:rPr>
              <w:t>2,530,053</w:t>
            </w:r>
          </w:p>
        </w:tc>
        <w:tc>
          <w:tcPr>
            <w:tcW w:w="2320" w:type="dxa"/>
            <w:vAlign w:val="center"/>
          </w:tcPr>
          <w:p w14:paraId="59A5AD49" w14:textId="5155F81E" w:rsidR="00CE17AA" w:rsidRPr="00CE17AA" w:rsidRDefault="00CE17AA" w:rsidP="00CE17AA">
            <w:pPr>
              <w:pStyle w:val="NormalWeb"/>
              <w:spacing w:before="2" w:after="2"/>
              <w:jc w:val="center"/>
              <w:rPr>
                <w:rFonts w:ascii="Arial" w:hAnsi="Arial" w:cs="Arial"/>
              </w:rPr>
            </w:pPr>
            <w:r w:rsidRPr="00CE17AA">
              <w:rPr>
                <w:rFonts w:ascii="Arial" w:hAnsi="Arial" w:cs="Arial"/>
              </w:rPr>
              <w:t>48</w:t>
            </w:r>
          </w:p>
        </w:tc>
      </w:tr>
    </w:tbl>
    <w:p w14:paraId="119ECC5B" w14:textId="77777777" w:rsidR="009E259A" w:rsidRPr="00605344" w:rsidRDefault="009E259A" w:rsidP="00E53EA1">
      <w:pPr>
        <w:pStyle w:val="Highlight"/>
      </w:pPr>
      <w:r w:rsidRPr="00605344">
        <w:t>Source: Office of Accountant General of the Federation</w:t>
      </w:r>
    </w:p>
    <w:p w14:paraId="11DE0326" w14:textId="77777777" w:rsidR="00CE17AA" w:rsidRDefault="00CE17AA" w:rsidP="00E53EA1">
      <w:pPr>
        <w:pStyle w:val="Highlight"/>
      </w:pPr>
    </w:p>
    <w:p w14:paraId="0D2B73E4" w14:textId="77777777" w:rsidR="00CE17AA" w:rsidRPr="00225669" w:rsidRDefault="00CE17AA" w:rsidP="00E53EA1">
      <w:pPr>
        <w:pStyle w:val="Highlight"/>
      </w:pPr>
    </w:p>
    <w:p w14:paraId="2652DA51" w14:textId="77777777" w:rsidR="009E259A" w:rsidRDefault="009E259A" w:rsidP="00EB2031">
      <w:pPr>
        <w:pStyle w:val="TableList"/>
      </w:pPr>
      <w:bookmarkStart w:id="54" w:name="_Toc311707943"/>
      <w:r w:rsidRPr="00225669">
        <w:t>Value Added Tax to States</w:t>
      </w:r>
      <w:r w:rsidR="008E6063" w:rsidRPr="00225669">
        <w:rPr>
          <w:rStyle w:val="FootnoteReference"/>
          <w:sz w:val="20"/>
          <w:szCs w:val="20"/>
        </w:rPr>
        <w:footnoteReference w:id="62"/>
      </w:r>
      <w:r w:rsidRPr="00225669">
        <w:t xml:space="preserve"> and Local Government Areas</w:t>
      </w:r>
      <w:bookmarkEnd w:id="54"/>
    </w:p>
    <w:p w14:paraId="1D4659D1" w14:textId="4E0CE339" w:rsidR="00156262" w:rsidRDefault="00156262" w:rsidP="00E53EA1">
      <w:pPr>
        <w:pStyle w:val="Highlight"/>
      </w:pPr>
      <w:r>
        <w:t>VAT TO STATES</w:t>
      </w:r>
    </w:p>
    <w:tbl>
      <w:tblPr>
        <w:tblStyle w:val="TableGrid"/>
        <w:tblW w:w="0" w:type="auto"/>
        <w:tblLook w:val="04A0" w:firstRow="1" w:lastRow="0" w:firstColumn="1" w:lastColumn="0" w:noHBand="0" w:noVBand="1"/>
      </w:tblPr>
      <w:tblGrid>
        <w:gridCol w:w="905"/>
        <w:gridCol w:w="898"/>
        <w:gridCol w:w="912"/>
        <w:gridCol w:w="1070"/>
        <w:gridCol w:w="916"/>
        <w:gridCol w:w="913"/>
        <w:gridCol w:w="897"/>
        <w:gridCol w:w="897"/>
        <w:gridCol w:w="921"/>
        <w:gridCol w:w="951"/>
      </w:tblGrid>
      <w:tr w:rsidR="00156262" w:rsidRPr="00156262" w14:paraId="4E6660C1" w14:textId="77777777" w:rsidTr="00156262">
        <w:tc>
          <w:tcPr>
            <w:tcW w:w="919" w:type="dxa"/>
          </w:tcPr>
          <w:p w14:paraId="714EE48E" w14:textId="77777777" w:rsidR="00156262" w:rsidRPr="00156262" w:rsidRDefault="00156262" w:rsidP="00E53EA1">
            <w:pPr>
              <w:pStyle w:val="Highlight"/>
            </w:pPr>
          </w:p>
        </w:tc>
        <w:tc>
          <w:tcPr>
            <w:tcW w:w="916" w:type="dxa"/>
          </w:tcPr>
          <w:p w14:paraId="7AA30049" w14:textId="7255F32A" w:rsidR="00156262" w:rsidRPr="00156262" w:rsidRDefault="00156262" w:rsidP="00E53EA1">
            <w:pPr>
              <w:pStyle w:val="Highlight"/>
            </w:pPr>
            <w:r w:rsidRPr="00410340">
              <w:t>Abia</w:t>
            </w:r>
          </w:p>
        </w:tc>
        <w:tc>
          <w:tcPr>
            <w:tcW w:w="921" w:type="dxa"/>
          </w:tcPr>
          <w:p w14:paraId="5A4EF584" w14:textId="665E8FFC" w:rsidR="00156262" w:rsidRPr="00156262" w:rsidRDefault="00156262" w:rsidP="00E53EA1">
            <w:pPr>
              <w:pStyle w:val="Highlight"/>
            </w:pPr>
            <w:r w:rsidRPr="00410340">
              <w:t>Akwa Ibom</w:t>
            </w:r>
          </w:p>
        </w:tc>
        <w:tc>
          <w:tcPr>
            <w:tcW w:w="999" w:type="dxa"/>
          </w:tcPr>
          <w:p w14:paraId="222DB2AE" w14:textId="54C6AEF5" w:rsidR="00156262" w:rsidRPr="00156262" w:rsidRDefault="00156262" w:rsidP="00E53EA1">
            <w:pPr>
              <w:pStyle w:val="Highlight"/>
            </w:pPr>
            <w:r w:rsidRPr="00410340">
              <w:t>Bayelsa</w:t>
            </w:r>
          </w:p>
        </w:tc>
        <w:tc>
          <w:tcPr>
            <w:tcW w:w="922" w:type="dxa"/>
          </w:tcPr>
          <w:p w14:paraId="4E2C7C00" w14:textId="6532C2DF" w:rsidR="00156262" w:rsidRPr="00156262" w:rsidRDefault="00156262" w:rsidP="00E53EA1">
            <w:pPr>
              <w:pStyle w:val="Highlight"/>
            </w:pPr>
            <w:r w:rsidRPr="00410340">
              <w:t>Cross River</w:t>
            </w:r>
          </w:p>
        </w:tc>
        <w:tc>
          <w:tcPr>
            <w:tcW w:w="921" w:type="dxa"/>
          </w:tcPr>
          <w:p w14:paraId="1B9DEE15" w14:textId="676AC4FE" w:rsidR="00156262" w:rsidRPr="00156262" w:rsidRDefault="00156262" w:rsidP="00E53EA1">
            <w:pPr>
              <w:pStyle w:val="Highlight"/>
            </w:pPr>
            <w:r w:rsidRPr="00410340">
              <w:t>Delta</w:t>
            </w:r>
          </w:p>
        </w:tc>
        <w:tc>
          <w:tcPr>
            <w:tcW w:w="916" w:type="dxa"/>
          </w:tcPr>
          <w:p w14:paraId="14C36C8E" w14:textId="06143844" w:rsidR="00156262" w:rsidRPr="00156262" w:rsidRDefault="00156262" w:rsidP="00E53EA1">
            <w:pPr>
              <w:pStyle w:val="Highlight"/>
            </w:pPr>
            <w:r w:rsidRPr="00410340">
              <w:t>Edo</w:t>
            </w:r>
          </w:p>
        </w:tc>
        <w:tc>
          <w:tcPr>
            <w:tcW w:w="916" w:type="dxa"/>
          </w:tcPr>
          <w:p w14:paraId="28283DA8" w14:textId="50BF4312" w:rsidR="00156262" w:rsidRPr="00156262" w:rsidRDefault="00156262" w:rsidP="00E53EA1">
            <w:pPr>
              <w:pStyle w:val="Highlight"/>
            </w:pPr>
            <w:r w:rsidRPr="00410340">
              <w:t>Imo</w:t>
            </w:r>
          </w:p>
        </w:tc>
        <w:tc>
          <w:tcPr>
            <w:tcW w:w="924" w:type="dxa"/>
          </w:tcPr>
          <w:p w14:paraId="2AD2271B" w14:textId="547CF67C" w:rsidR="00156262" w:rsidRPr="00156262" w:rsidRDefault="00156262" w:rsidP="00E53EA1">
            <w:pPr>
              <w:pStyle w:val="Highlight"/>
            </w:pPr>
            <w:r w:rsidRPr="00410340">
              <w:t>Ondo</w:t>
            </w:r>
          </w:p>
        </w:tc>
        <w:tc>
          <w:tcPr>
            <w:tcW w:w="926" w:type="dxa"/>
          </w:tcPr>
          <w:p w14:paraId="5B32FED0" w14:textId="5908D0EE" w:rsidR="00156262" w:rsidRPr="00156262" w:rsidRDefault="00156262" w:rsidP="00E53EA1">
            <w:pPr>
              <w:pStyle w:val="Highlight"/>
            </w:pPr>
            <w:r w:rsidRPr="00410340">
              <w:t>Rivers</w:t>
            </w:r>
          </w:p>
        </w:tc>
      </w:tr>
      <w:tr w:rsidR="00156262" w:rsidRPr="00156262" w14:paraId="30D887FA" w14:textId="77777777" w:rsidTr="00156262">
        <w:tc>
          <w:tcPr>
            <w:tcW w:w="919" w:type="dxa"/>
          </w:tcPr>
          <w:p w14:paraId="7F13D3C5" w14:textId="77777777" w:rsidR="00156262" w:rsidRPr="00156262" w:rsidRDefault="00156262" w:rsidP="00E53EA1">
            <w:pPr>
              <w:pStyle w:val="Highlight"/>
            </w:pPr>
          </w:p>
        </w:tc>
        <w:tc>
          <w:tcPr>
            <w:tcW w:w="8361" w:type="dxa"/>
            <w:gridSpan w:val="9"/>
          </w:tcPr>
          <w:p w14:paraId="20C7ECEA" w14:textId="71DD5F6B" w:rsidR="00156262" w:rsidRPr="00410340" w:rsidRDefault="00156262" w:rsidP="00E53EA1">
            <w:pPr>
              <w:pStyle w:val="Highlight"/>
            </w:pPr>
            <w:r>
              <w:t>Estimated funds (N’billion)</w:t>
            </w:r>
          </w:p>
        </w:tc>
      </w:tr>
      <w:tr w:rsidR="00156262" w:rsidRPr="00156262" w14:paraId="6FF965A4" w14:textId="77777777" w:rsidTr="00156262">
        <w:tc>
          <w:tcPr>
            <w:tcW w:w="919" w:type="dxa"/>
            <w:vAlign w:val="bottom"/>
          </w:tcPr>
          <w:p w14:paraId="489ABB3B" w14:textId="4C0B0CCC" w:rsidR="00156262" w:rsidRPr="00156262" w:rsidRDefault="00156262" w:rsidP="00E53EA1">
            <w:pPr>
              <w:pStyle w:val="Highlight"/>
            </w:pPr>
            <w:r w:rsidRPr="00225669">
              <w:t>2010</w:t>
            </w:r>
          </w:p>
        </w:tc>
        <w:tc>
          <w:tcPr>
            <w:tcW w:w="916" w:type="dxa"/>
            <w:vAlign w:val="bottom"/>
          </w:tcPr>
          <w:p w14:paraId="730DAE95" w14:textId="5EF6CA32" w:rsidR="00156262" w:rsidRPr="00156262" w:rsidRDefault="00156262" w:rsidP="00E53EA1">
            <w:pPr>
              <w:pStyle w:val="Highlight"/>
            </w:pPr>
            <w:r w:rsidRPr="00225669">
              <w:t>5.57</w:t>
            </w:r>
          </w:p>
        </w:tc>
        <w:tc>
          <w:tcPr>
            <w:tcW w:w="921" w:type="dxa"/>
            <w:vAlign w:val="bottom"/>
          </w:tcPr>
          <w:p w14:paraId="6EEF7666" w14:textId="3CB7C312" w:rsidR="00156262" w:rsidRPr="00156262" w:rsidRDefault="00156262" w:rsidP="00E53EA1">
            <w:pPr>
              <w:pStyle w:val="Highlight"/>
            </w:pPr>
            <w:r w:rsidRPr="00225669">
              <w:t>7.97</w:t>
            </w:r>
          </w:p>
        </w:tc>
        <w:tc>
          <w:tcPr>
            <w:tcW w:w="999" w:type="dxa"/>
            <w:vAlign w:val="bottom"/>
          </w:tcPr>
          <w:p w14:paraId="739E1306" w14:textId="70C35A62" w:rsidR="00156262" w:rsidRPr="00156262" w:rsidRDefault="00156262" w:rsidP="00E53EA1">
            <w:pPr>
              <w:pStyle w:val="Highlight"/>
            </w:pPr>
            <w:r w:rsidRPr="00225669">
              <w:t>5.03</w:t>
            </w:r>
          </w:p>
        </w:tc>
        <w:tc>
          <w:tcPr>
            <w:tcW w:w="922" w:type="dxa"/>
            <w:vAlign w:val="bottom"/>
          </w:tcPr>
          <w:p w14:paraId="124CC3A5" w14:textId="116F616F" w:rsidR="00156262" w:rsidRPr="00156262" w:rsidRDefault="00156262" w:rsidP="00E53EA1">
            <w:pPr>
              <w:pStyle w:val="Highlight"/>
            </w:pPr>
            <w:r w:rsidRPr="00225669">
              <w:t>5.65</w:t>
            </w:r>
          </w:p>
        </w:tc>
        <w:tc>
          <w:tcPr>
            <w:tcW w:w="921" w:type="dxa"/>
            <w:vAlign w:val="bottom"/>
          </w:tcPr>
          <w:p w14:paraId="25FA4B2A" w14:textId="78F98E4D" w:rsidR="00156262" w:rsidRPr="00156262" w:rsidRDefault="00156262" w:rsidP="00E53EA1">
            <w:pPr>
              <w:pStyle w:val="Highlight"/>
            </w:pPr>
            <w:r w:rsidRPr="00225669">
              <w:t>7.32</w:t>
            </w:r>
          </w:p>
        </w:tc>
        <w:tc>
          <w:tcPr>
            <w:tcW w:w="916" w:type="dxa"/>
            <w:vAlign w:val="bottom"/>
          </w:tcPr>
          <w:p w14:paraId="0E2242E8" w14:textId="18D51BE8" w:rsidR="00156262" w:rsidRPr="00156262" w:rsidRDefault="00156262" w:rsidP="00E53EA1">
            <w:pPr>
              <w:pStyle w:val="Highlight"/>
            </w:pPr>
            <w:r w:rsidRPr="00225669">
              <w:t>6.28</w:t>
            </w:r>
          </w:p>
        </w:tc>
        <w:tc>
          <w:tcPr>
            <w:tcW w:w="916" w:type="dxa"/>
            <w:vAlign w:val="bottom"/>
          </w:tcPr>
          <w:p w14:paraId="536D7E0B" w14:textId="429C578B" w:rsidR="00156262" w:rsidRPr="00156262" w:rsidRDefault="00156262" w:rsidP="00E53EA1">
            <w:pPr>
              <w:pStyle w:val="Highlight"/>
            </w:pPr>
            <w:r w:rsidRPr="00225669">
              <w:t>6.25</w:t>
            </w:r>
          </w:p>
        </w:tc>
        <w:tc>
          <w:tcPr>
            <w:tcW w:w="924" w:type="dxa"/>
            <w:vAlign w:val="bottom"/>
          </w:tcPr>
          <w:p w14:paraId="2A895BF1" w14:textId="02D7352F" w:rsidR="00156262" w:rsidRPr="00156262" w:rsidRDefault="00156262" w:rsidP="00E53EA1">
            <w:pPr>
              <w:pStyle w:val="Highlight"/>
            </w:pPr>
            <w:r w:rsidRPr="00225669">
              <w:t>6.25</w:t>
            </w:r>
          </w:p>
        </w:tc>
        <w:tc>
          <w:tcPr>
            <w:tcW w:w="926" w:type="dxa"/>
            <w:vAlign w:val="bottom"/>
          </w:tcPr>
          <w:p w14:paraId="7298EE43" w14:textId="151FFCB5" w:rsidR="00156262" w:rsidRPr="00156262" w:rsidRDefault="00156262" w:rsidP="00E53EA1">
            <w:pPr>
              <w:pStyle w:val="Highlight"/>
            </w:pPr>
            <w:r w:rsidRPr="00225669">
              <w:t>10.56</w:t>
            </w:r>
          </w:p>
        </w:tc>
      </w:tr>
      <w:tr w:rsidR="00156262" w:rsidRPr="00156262" w14:paraId="6DC2EBC0" w14:textId="77777777" w:rsidTr="00156262">
        <w:tc>
          <w:tcPr>
            <w:tcW w:w="919" w:type="dxa"/>
            <w:vAlign w:val="bottom"/>
          </w:tcPr>
          <w:p w14:paraId="4DBD3498" w14:textId="072E5AD1" w:rsidR="00156262" w:rsidRPr="00156262" w:rsidRDefault="00156262" w:rsidP="00E53EA1">
            <w:pPr>
              <w:pStyle w:val="Highlight"/>
            </w:pPr>
            <w:r w:rsidRPr="00225669">
              <w:t>2011</w:t>
            </w:r>
          </w:p>
        </w:tc>
        <w:tc>
          <w:tcPr>
            <w:tcW w:w="916" w:type="dxa"/>
            <w:vAlign w:val="bottom"/>
          </w:tcPr>
          <w:p w14:paraId="6E979A56" w14:textId="185EAABE" w:rsidR="00156262" w:rsidRPr="00156262" w:rsidRDefault="00156262" w:rsidP="00E53EA1">
            <w:pPr>
              <w:pStyle w:val="Highlight"/>
            </w:pPr>
            <w:r w:rsidRPr="00225669">
              <w:t>6.46</w:t>
            </w:r>
          </w:p>
        </w:tc>
        <w:tc>
          <w:tcPr>
            <w:tcW w:w="921" w:type="dxa"/>
            <w:vAlign w:val="bottom"/>
          </w:tcPr>
          <w:p w14:paraId="4908BD64" w14:textId="02C8F1F3" w:rsidR="00156262" w:rsidRPr="00156262" w:rsidRDefault="00156262" w:rsidP="00E53EA1">
            <w:pPr>
              <w:pStyle w:val="Highlight"/>
            </w:pPr>
            <w:r w:rsidRPr="00225669">
              <w:t>8.33</w:t>
            </w:r>
          </w:p>
        </w:tc>
        <w:tc>
          <w:tcPr>
            <w:tcW w:w="999" w:type="dxa"/>
            <w:vAlign w:val="bottom"/>
          </w:tcPr>
          <w:p w14:paraId="6F5691BF" w14:textId="71F6B038" w:rsidR="00156262" w:rsidRPr="00156262" w:rsidRDefault="00156262" w:rsidP="00E53EA1">
            <w:pPr>
              <w:pStyle w:val="Highlight"/>
            </w:pPr>
            <w:r w:rsidRPr="00225669">
              <w:t>6.01</w:t>
            </w:r>
          </w:p>
        </w:tc>
        <w:tc>
          <w:tcPr>
            <w:tcW w:w="922" w:type="dxa"/>
            <w:vAlign w:val="bottom"/>
          </w:tcPr>
          <w:p w14:paraId="67224638" w14:textId="1FD35659" w:rsidR="00156262" w:rsidRPr="00156262" w:rsidRDefault="00156262" w:rsidP="00E53EA1">
            <w:pPr>
              <w:pStyle w:val="Highlight"/>
            </w:pPr>
            <w:r w:rsidRPr="00225669">
              <w:t>6.57</w:t>
            </w:r>
          </w:p>
        </w:tc>
        <w:tc>
          <w:tcPr>
            <w:tcW w:w="921" w:type="dxa"/>
            <w:vAlign w:val="bottom"/>
          </w:tcPr>
          <w:p w14:paraId="28ECB9AC" w14:textId="09A4646F" w:rsidR="00156262" w:rsidRPr="00156262" w:rsidRDefault="00156262" w:rsidP="00E53EA1">
            <w:pPr>
              <w:pStyle w:val="Highlight"/>
            </w:pPr>
            <w:r w:rsidRPr="00225669">
              <w:t>8.79</w:t>
            </w:r>
          </w:p>
        </w:tc>
        <w:tc>
          <w:tcPr>
            <w:tcW w:w="916" w:type="dxa"/>
            <w:vAlign w:val="bottom"/>
          </w:tcPr>
          <w:p w14:paraId="1C9BC178" w14:textId="02ADB079" w:rsidR="00156262" w:rsidRPr="00156262" w:rsidRDefault="00156262" w:rsidP="00E53EA1">
            <w:pPr>
              <w:pStyle w:val="Highlight"/>
            </w:pPr>
            <w:r w:rsidRPr="00225669">
              <w:t>7.27</w:t>
            </w:r>
          </w:p>
        </w:tc>
        <w:tc>
          <w:tcPr>
            <w:tcW w:w="916" w:type="dxa"/>
            <w:vAlign w:val="bottom"/>
          </w:tcPr>
          <w:p w14:paraId="1E59E519" w14:textId="5C57C3A2" w:rsidR="00156262" w:rsidRPr="00156262" w:rsidRDefault="00156262" w:rsidP="00E53EA1">
            <w:pPr>
              <w:pStyle w:val="Highlight"/>
            </w:pPr>
            <w:r w:rsidRPr="00225669">
              <w:t>7.33</w:t>
            </w:r>
          </w:p>
        </w:tc>
        <w:tc>
          <w:tcPr>
            <w:tcW w:w="924" w:type="dxa"/>
            <w:vAlign w:val="bottom"/>
          </w:tcPr>
          <w:p w14:paraId="79B6B503" w14:textId="2DF9081B" w:rsidR="00156262" w:rsidRPr="00156262" w:rsidRDefault="00156262" w:rsidP="00E53EA1">
            <w:pPr>
              <w:pStyle w:val="Highlight"/>
            </w:pPr>
            <w:r w:rsidRPr="00225669">
              <w:t>7.10</w:t>
            </w:r>
          </w:p>
        </w:tc>
        <w:tc>
          <w:tcPr>
            <w:tcW w:w="926" w:type="dxa"/>
            <w:vAlign w:val="bottom"/>
          </w:tcPr>
          <w:p w14:paraId="714B387C" w14:textId="45B8ADA7" w:rsidR="00156262" w:rsidRPr="00156262" w:rsidRDefault="00156262" w:rsidP="00E53EA1">
            <w:pPr>
              <w:pStyle w:val="Highlight"/>
            </w:pPr>
            <w:r w:rsidRPr="00225669">
              <w:t>11.20</w:t>
            </w:r>
          </w:p>
        </w:tc>
      </w:tr>
      <w:tr w:rsidR="00156262" w:rsidRPr="00156262" w14:paraId="20C368E5" w14:textId="77777777" w:rsidTr="00156262">
        <w:tc>
          <w:tcPr>
            <w:tcW w:w="919" w:type="dxa"/>
            <w:vAlign w:val="bottom"/>
          </w:tcPr>
          <w:p w14:paraId="69DB0495" w14:textId="58EAC233" w:rsidR="00156262" w:rsidRPr="00156262" w:rsidRDefault="00156262" w:rsidP="00E53EA1">
            <w:pPr>
              <w:pStyle w:val="Highlight"/>
            </w:pPr>
            <w:r w:rsidRPr="00225669">
              <w:t>2012</w:t>
            </w:r>
          </w:p>
        </w:tc>
        <w:tc>
          <w:tcPr>
            <w:tcW w:w="916" w:type="dxa"/>
            <w:vAlign w:val="bottom"/>
          </w:tcPr>
          <w:p w14:paraId="124BAE42" w14:textId="4128F2E6" w:rsidR="00156262" w:rsidRPr="00156262" w:rsidRDefault="00156262" w:rsidP="00E53EA1">
            <w:pPr>
              <w:pStyle w:val="Highlight"/>
            </w:pPr>
            <w:r w:rsidRPr="00225669">
              <w:t>7.04</w:t>
            </w:r>
          </w:p>
        </w:tc>
        <w:tc>
          <w:tcPr>
            <w:tcW w:w="921" w:type="dxa"/>
            <w:vAlign w:val="bottom"/>
          </w:tcPr>
          <w:p w14:paraId="7C68E38E" w14:textId="5AFB2942" w:rsidR="00156262" w:rsidRPr="00156262" w:rsidRDefault="00156262" w:rsidP="00E53EA1">
            <w:pPr>
              <w:pStyle w:val="Highlight"/>
            </w:pPr>
            <w:r w:rsidRPr="00225669">
              <w:t>9.45</w:t>
            </w:r>
          </w:p>
        </w:tc>
        <w:tc>
          <w:tcPr>
            <w:tcW w:w="999" w:type="dxa"/>
            <w:vAlign w:val="bottom"/>
          </w:tcPr>
          <w:p w14:paraId="5EEEA6A9" w14:textId="706AC2A8" w:rsidR="00156262" w:rsidRPr="00156262" w:rsidRDefault="00156262" w:rsidP="00E53EA1">
            <w:pPr>
              <w:pStyle w:val="Highlight"/>
            </w:pPr>
            <w:r w:rsidRPr="00225669">
              <w:t>6.62</w:t>
            </w:r>
          </w:p>
        </w:tc>
        <w:tc>
          <w:tcPr>
            <w:tcW w:w="922" w:type="dxa"/>
            <w:vAlign w:val="bottom"/>
          </w:tcPr>
          <w:p w14:paraId="047C86C7" w14:textId="4ABAA6A2" w:rsidR="00156262" w:rsidRPr="00156262" w:rsidRDefault="00156262" w:rsidP="00E53EA1">
            <w:pPr>
              <w:pStyle w:val="Highlight"/>
            </w:pPr>
            <w:r w:rsidRPr="00225669">
              <w:t>7.19</w:t>
            </w:r>
          </w:p>
        </w:tc>
        <w:tc>
          <w:tcPr>
            <w:tcW w:w="921" w:type="dxa"/>
            <w:vAlign w:val="bottom"/>
          </w:tcPr>
          <w:p w14:paraId="384B2A8E" w14:textId="75977B93" w:rsidR="00156262" w:rsidRPr="00156262" w:rsidRDefault="00156262" w:rsidP="00E53EA1">
            <w:pPr>
              <w:pStyle w:val="Highlight"/>
            </w:pPr>
            <w:r w:rsidRPr="00225669">
              <w:t>9.40</w:t>
            </w:r>
          </w:p>
        </w:tc>
        <w:tc>
          <w:tcPr>
            <w:tcW w:w="916" w:type="dxa"/>
            <w:vAlign w:val="bottom"/>
          </w:tcPr>
          <w:p w14:paraId="36AC4E25" w14:textId="4F6CB7BA" w:rsidR="00156262" w:rsidRPr="00156262" w:rsidRDefault="00156262" w:rsidP="00E53EA1">
            <w:pPr>
              <w:pStyle w:val="Highlight"/>
            </w:pPr>
            <w:r w:rsidRPr="00225669">
              <w:t>7.92</w:t>
            </w:r>
          </w:p>
        </w:tc>
        <w:tc>
          <w:tcPr>
            <w:tcW w:w="916" w:type="dxa"/>
            <w:vAlign w:val="bottom"/>
          </w:tcPr>
          <w:p w14:paraId="0B3EC300" w14:textId="18D14831" w:rsidR="00156262" w:rsidRPr="00156262" w:rsidRDefault="00156262" w:rsidP="00E53EA1">
            <w:pPr>
              <w:pStyle w:val="Highlight"/>
            </w:pPr>
            <w:r w:rsidRPr="00225669">
              <w:t>7.93</w:t>
            </w:r>
          </w:p>
        </w:tc>
        <w:tc>
          <w:tcPr>
            <w:tcW w:w="924" w:type="dxa"/>
            <w:vAlign w:val="bottom"/>
          </w:tcPr>
          <w:p w14:paraId="01CB9D83" w14:textId="2FCB4FAD" w:rsidR="00156262" w:rsidRPr="00156262" w:rsidRDefault="00156262" w:rsidP="00E53EA1">
            <w:pPr>
              <w:pStyle w:val="Highlight"/>
            </w:pPr>
            <w:r w:rsidRPr="00225669">
              <w:t>7.64</w:t>
            </w:r>
          </w:p>
        </w:tc>
        <w:tc>
          <w:tcPr>
            <w:tcW w:w="926" w:type="dxa"/>
            <w:vAlign w:val="bottom"/>
          </w:tcPr>
          <w:p w14:paraId="7B665B24" w14:textId="25BC6B74" w:rsidR="00156262" w:rsidRPr="00156262" w:rsidRDefault="00156262" w:rsidP="00E53EA1">
            <w:pPr>
              <w:pStyle w:val="Highlight"/>
            </w:pPr>
            <w:r w:rsidRPr="00225669">
              <w:t>11.97</w:t>
            </w:r>
          </w:p>
        </w:tc>
      </w:tr>
      <w:tr w:rsidR="00156262" w:rsidRPr="00156262" w14:paraId="2C175F93" w14:textId="77777777" w:rsidTr="00156262">
        <w:tc>
          <w:tcPr>
            <w:tcW w:w="919" w:type="dxa"/>
            <w:vAlign w:val="bottom"/>
          </w:tcPr>
          <w:p w14:paraId="039BEA7E" w14:textId="4872FF2E" w:rsidR="00156262" w:rsidRPr="00156262" w:rsidRDefault="00156262" w:rsidP="00E53EA1">
            <w:pPr>
              <w:pStyle w:val="Highlight"/>
            </w:pPr>
            <w:r w:rsidRPr="00225669">
              <w:t>2013</w:t>
            </w:r>
          </w:p>
        </w:tc>
        <w:tc>
          <w:tcPr>
            <w:tcW w:w="916" w:type="dxa"/>
            <w:vAlign w:val="bottom"/>
          </w:tcPr>
          <w:p w14:paraId="0F7F9A53" w14:textId="7EB470D5" w:rsidR="00156262" w:rsidRPr="00156262" w:rsidRDefault="00156262" w:rsidP="00E53EA1">
            <w:pPr>
              <w:pStyle w:val="Highlight"/>
            </w:pPr>
            <w:r w:rsidRPr="00225669">
              <w:t>7.94</w:t>
            </w:r>
          </w:p>
        </w:tc>
        <w:tc>
          <w:tcPr>
            <w:tcW w:w="921" w:type="dxa"/>
            <w:vAlign w:val="bottom"/>
          </w:tcPr>
          <w:p w14:paraId="2D501E9F" w14:textId="6B599582" w:rsidR="00156262" w:rsidRPr="00156262" w:rsidRDefault="00156262" w:rsidP="00E53EA1">
            <w:pPr>
              <w:pStyle w:val="Highlight"/>
            </w:pPr>
            <w:r w:rsidRPr="00225669">
              <w:t>9.89</w:t>
            </w:r>
          </w:p>
        </w:tc>
        <w:tc>
          <w:tcPr>
            <w:tcW w:w="999" w:type="dxa"/>
            <w:vAlign w:val="bottom"/>
          </w:tcPr>
          <w:p w14:paraId="75B383A3" w14:textId="66C99F6D" w:rsidR="00156262" w:rsidRPr="00156262" w:rsidRDefault="00156262" w:rsidP="00E53EA1">
            <w:pPr>
              <w:pStyle w:val="Highlight"/>
            </w:pPr>
            <w:r w:rsidRPr="00225669">
              <w:t>7.72</w:t>
            </w:r>
          </w:p>
        </w:tc>
        <w:tc>
          <w:tcPr>
            <w:tcW w:w="922" w:type="dxa"/>
            <w:vAlign w:val="bottom"/>
          </w:tcPr>
          <w:p w14:paraId="02CE082B" w14:textId="5FF5F488" w:rsidR="00156262" w:rsidRPr="00156262" w:rsidRDefault="00156262" w:rsidP="00E53EA1">
            <w:pPr>
              <w:pStyle w:val="Highlight"/>
            </w:pPr>
            <w:r w:rsidRPr="00225669">
              <w:t>8.20</w:t>
            </w:r>
          </w:p>
        </w:tc>
        <w:tc>
          <w:tcPr>
            <w:tcW w:w="921" w:type="dxa"/>
            <w:vAlign w:val="bottom"/>
          </w:tcPr>
          <w:p w14:paraId="351C0827" w14:textId="79B300BC" w:rsidR="00156262" w:rsidRPr="00156262" w:rsidRDefault="00156262" w:rsidP="00E53EA1">
            <w:pPr>
              <w:pStyle w:val="Highlight"/>
            </w:pPr>
            <w:r w:rsidRPr="00225669">
              <w:t>10.22</w:t>
            </w:r>
          </w:p>
        </w:tc>
        <w:tc>
          <w:tcPr>
            <w:tcW w:w="916" w:type="dxa"/>
            <w:vAlign w:val="bottom"/>
          </w:tcPr>
          <w:p w14:paraId="0F71924C" w14:textId="63302BC0" w:rsidR="00156262" w:rsidRPr="00156262" w:rsidRDefault="00156262" w:rsidP="00E53EA1">
            <w:pPr>
              <w:pStyle w:val="Highlight"/>
            </w:pPr>
            <w:r w:rsidRPr="00225669">
              <w:t>8.55</w:t>
            </w:r>
          </w:p>
        </w:tc>
        <w:tc>
          <w:tcPr>
            <w:tcW w:w="916" w:type="dxa"/>
            <w:vAlign w:val="bottom"/>
          </w:tcPr>
          <w:p w14:paraId="130614BA" w14:textId="4A0B3D8A" w:rsidR="00156262" w:rsidRPr="00156262" w:rsidRDefault="00156262" w:rsidP="00E53EA1">
            <w:pPr>
              <w:pStyle w:val="Highlight"/>
            </w:pPr>
            <w:r w:rsidRPr="00225669">
              <w:t>9.09</w:t>
            </w:r>
          </w:p>
        </w:tc>
        <w:tc>
          <w:tcPr>
            <w:tcW w:w="924" w:type="dxa"/>
            <w:vAlign w:val="bottom"/>
          </w:tcPr>
          <w:p w14:paraId="6B55D000" w14:textId="2C44BA57" w:rsidR="00156262" w:rsidRPr="00156262" w:rsidRDefault="00156262" w:rsidP="00E53EA1">
            <w:pPr>
              <w:pStyle w:val="Highlight"/>
            </w:pPr>
            <w:r w:rsidRPr="00225669">
              <w:t>8.51</w:t>
            </w:r>
          </w:p>
        </w:tc>
        <w:tc>
          <w:tcPr>
            <w:tcW w:w="926" w:type="dxa"/>
            <w:vAlign w:val="bottom"/>
          </w:tcPr>
          <w:p w14:paraId="56198530" w14:textId="63AD61F6" w:rsidR="00156262" w:rsidRPr="00156262" w:rsidRDefault="00156262" w:rsidP="00E53EA1">
            <w:pPr>
              <w:pStyle w:val="Highlight"/>
            </w:pPr>
            <w:r w:rsidRPr="00225669">
              <w:t>14.60</w:t>
            </w:r>
          </w:p>
        </w:tc>
      </w:tr>
      <w:tr w:rsidR="00156262" w:rsidRPr="00156262" w14:paraId="1F2F7E63" w14:textId="77777777" w:rsidTr="00156262">
        <w:tc>
          <w:tcPr>
            <w:tcW w:w="919" w:type="dxa"/>
            <w:vAlign w:val="bottom"/>
          </w:tcPr>
          <w:p w14:paraId="17BA5BC7" w14:textId="0D9409B7" w:rsidR="00156262" w:rsidRPr="00156262" w:rsidRDefault="00156262" w:rsidP="00E53EA1">
            <w:pPr>
              <w:pStyle w:val="Highlight"/>
            </w:pPr>
            <w:r w:rsidRPr="00225669">
              <w:t>2014</w:t>
            </w:r>
          </w:p>
        </w:tc>
        <w:tc>
          <w:tcPr>
            <w:tcW w:w="916" w:type="dxa"/>
            <w:vAlign w:val="bottom"/>
          </w:tcPr>
          <w:p w14:paraId="635F9ECF" w14:textId="034561D0" w:rsidR="00156262" w:rsidRPr="00156262" w:rsidRDefault="00156262" w:rsidP="00E53EA1">
            <w:pPr>
              <w:pStyle w:val="Highlight"/>
            </w:pPr>
            <w:r w:rsidRPr="00225669">
              <w:t>6.07</w:t>
            </w:r>
          </w:p>
        </w:tc>
        <w:tc>
          <w:tcPr>
            <w:tcW w:w="921" w:type="dxa"/>
            <w:vAlign w:val="bottom"/>
          </w:tcPr>
          <w:p w14:paraId="665C49E8" w14:textId="17C6221C" w:rsidR="00156262" w:rsidRPr="00156262" w:rsidRDefault="00156262" w:rsidP="00E53EA1">
            <w:pPr>
              <w:pStyle w:val="Highlight"/>
            </w:pPr>
            <w:r w:rsidRPr="00225669">
              <w:t>6.62</w:t>
            </w:r>
          </w:p>
        </w:tc>
        <w:tc>
          <w:tcPr>
            <w:tcW w:w="999" w:type="dxa"/>
            <w:vAlign w:val="bottom"/>
          </w:tcPr>
          <w:p w14:paraId="7D8C39E5" w14:textId="271752D5" w:rsidR="00156262" w:rsidRPr="00156262" w:rsidRDefault="00156262" w:rsidP="00E53EA1">
            <w:pPr>
              <w:pStyle w:val="Highlight"/>
            </w:pPr>
            <w:r w:rsidRPr="00225669">
              <w:t>5.75</w:t>
            </w:r>
          </w:p>
        </w:tc>
        <w:tc>
          <w:tcPr>
            <w:tcW w:w="922" w:type="dxa"/>
            <w:vAlign w:val="bottom"/>
          </w:tcPr>
          <w:p w14:paraId="0796069F" w14:textId="44D18ADF" w:rsidR="00156262" w:rsidRPr="00156262" w:rsidRDefault="00156262" w:rsidP="00E53EA1">
            <w:pPr>
              <w:pStyle w:val="Highlight"/>
            </w:pPr>
            <w:r w:rsidRPr="00225669">
              <w:t>6.21</w:t>
            </w:r>
          </w:p>
        </w:tc>
        <w:tc>
          <w:tcPr>
            <w:tcW w:w="921" w:type="dxa"/>
            <w:vAlign w:val="bottom"/>
          </w:tcPr>
          <w:p w14:paraId="2188C221" w14:textId="35C97084" w:rsidR="00156262" w:rsidRPr="00156262" w:rsidRDefault="00156262" w:rsidP="00E53EA1">
            <w:pPr>
              <w:pStyle w:val="Highlight"/>
            </w:pPr>
            <w:r w:rsidRPr="00225669">
              <w:t>7.36</w:t>
            </w:r>
          </w:p>
        </w:tc>
        <w:tc>
          <w:tcPr>
            <w:tcW w:w="916" w:type="dxa"/>
            <w:vAlign w:val="bottom"/>
          </w:tcPr>
          <w:p w14:paraId="168C2097" w14:textId="0BEE5A30" w:rsidR="00156262" w:rsidRPr="00156262" w:rsidRDefault="00156262" w:rsidP="00E53EA1">
            <w:pPr>
              <w:pStyle w:val="Highlight"/>
            </w:pPr>
            <w:r w:rsidRPr="00225669">
              <w:t>6.57</w:t>
            </w:r>
          </w:p>
        </w:tc>
        <w:tc>
          <w:tcPr>
            <w:tcW w:w="916" w:type="dxa"/>
            <w:vAlign w:val="bottom"/>
          </w:tcPr>
          <w:p w14:paraId="18CB07F7" w14:textId="52069BEF" w:rsidR="00156262" w:rsidRPr="00156262" w:rsidRDefault="00156262" w:rsidP="00E53EA1">
            <w:pPr>
              <w:pStyle w:val="Highlight"/>
            </w:pPr>
            <w:r w:rsidRPr="00225669">
              <w:t>6.74</w:t>
            </w:r>
          </w:p>
        </w:tc>
        <w:tc>
          <w:tcPr>
            <w:tcW w:w="924" w:type="dxa"/>
            <w:vAlign w:val="bottom"/>
          </w:tcPr>
          <w:p w14:paraId="3FFD50AB" w14:textId="6298F803" w:rsidR="00156262" w:rsidRPr="00156262" w:rsidRDefault="00156262" w:rsidP="00E53EA1">
            <w:pPr>
              <w:pStyle w:val="Highlight"/>
            </w:pPr>
            <w:r w:rsidRPr="00225669">
              <w:t>6.40</w:t>
            </w:r>
          </w:p>
        </w:tc>
        <w:tc>
          <w:tcPr>
            <w:tcW w:w="926" w:type="dxa"/>
            <w:vAlign w:val="bottom"/>
          </w:tcPr>
          <w:p w14:paraId="740C83F7" w14:textId="216F8347" w:rsidR="00156262" w:rsidRPr="00156262" w:rsidRDefault="00156262" w:rsidP="00E53EA1">
            <w:pPr>
              <w:pStyle w:val="Highlight"/>
            </w:pPr>
            <w:r w:rsidRPr="00225669">
              <w:t>10.00</w:t>
            </w:r>
          </w:p>
        </w:tc>
      </w:tr>
      <w:tr w:rsidR="00156262" w:rsidRPr="00156262" w14:paraId="4756353A" w14:textId="77777777" w:rsidTr="00156262">
        <w:tc>
          <w:tcPr>
            <w:tcW w:w="919" w:type="dxa"/>
            <w:vAlign w:val="bottom"/>
          </w:tcPr>
          <w:p w14:paraId="7C1065EA" w14:textId="4E0BFBC1" w:rsidR="00156262" w:rsidRPr="00156262" w:rsidRDefault="00156262" w:rsidP="00E53EA1">
            <w:pPr>
              <w:pStyle w:val="Highlight"/>
            </w:pPr>
            <w:r w:rsidRPr="00225669">
              <w:t> </w:t>
            </w:r>
          </w:p>
        </w:tc>
        <w:tc>
          <w:tcPr>
            <w:tcW w:w="916" w:type="dxa"/>
            <w:vAlign w:val="bottom"/>
          </w:tcPr>
          <w:p w14:paraId="1C22CCED" w14:textId="77777777" w:rsidR="00156262" w:rsidRPr="00156262" w:rsidRDefault="00156262" w:rsidP="00E53EA1">
            <w:pPr>
              <w:pStyle w:val="Highlight"/>
            </w:pPr>
          </w:p>
        </w:tc>
        <w:tc>
          <w:tcPr>
            <w:tcW w:w="921" w:type="dxa"/>
            <w:vAlign w:val="bottom"/>
          </w:tcPr>
          <w:p w14:paraId="7E1C70F1" w14:textId="77777777" w:rsidR="00156262" w:rsidRPr="00156262" w:rsidRDefault="00156262" w:rsidP="00E53EA1">
            <w:pPr>
              <w:pStyle w:val="Highlight"/>
            </w:pPr>
          </w:p>
        </w:tc>
        <w:tc>
          <w:tcPr>
            <w:tcW w:w="999" w:type="dxa"/>
            <w:vAlign w:val="bottom"/>
          </w:tcPr>
          <w:p w14:paraId="2425CD61" w14:textId="77777777" w:rsidR="00156262" w:rsidRPr="00156262" w:rsidRDefault="00156262" w:rsidP="00E53EA1">
            <w:pPr>
              <w:pStyle w:val="Highlight"/>
            </w:pPr>
          </w:p>
        </w:tc>
        <w:tc>
          <w:tcPr>
            <w:tcW w:w="922" w:type="dxa"/>
            <w:vAlign w:val="bottom"/>
          </w:tcPr>
          <w:p w14:paraId="5944D795" w14:textId="77777777" w:rsidR="00156262" w:rsidRPr="00156262" w:rsidRDefault="00156262" w:rsidP="00E53EA1">
            <w:pPr>
              <w:pStyle w:val="Highlight"/>
            </w:pPr>
          </w:p>
        </w:tc>
        <w:tc>
          <w:tcPr>
            <w:tcW w:w="921" w:type="dxa"/>
            <w:vAlign w:val="bottom"/>
          </w:tcPr>
          <w:p w14:paraId="410F44B3" w14:textId="77777777" w:rsidR="00156262" w:rsidRPr="00156262" w:rsidRDefault="00156262" w:rsidP="00E53EA1">
            <w:pPr>
              <w:pStyle w:val="Highlight"/>
            </w:pPr>
          </w:p>
        </w:tc>
        <w:tc>
          <w:tcPr>
            <w:tcW w:w="916" w:type="dxa"/>
            <w:vAlign w:val="bottom"/>
          </w:tcPr>
          <w:p w14:paraId="01CB4B24" w14:textId="77777777" w:rsidR="00156262" w:rsidRPr="00156262" w:rsidRDefault="00156262" w:rsidP="00E53EA1">
            <w:pPr>
              <w:pStyle w:val="Highlight"/>
            </w:pPr>
          </w:p>
        </w:tc>
        <w:tc>
          <w:tcPr>
            <w:tcW w:w="916" w:type="dxa"/>
            <w:vAlign w:val="bottom"/>
          </w:tcPr>
          <w:p w14:paraId="6F0E5BD2" w14:textId="77777777" w:rsidR="00156262" w:rsidRPr="00156262" w:rsidRDefault="00156262" w:rsidP="00E53EA1">
            <w:pPr>
              <w:pStyle w:val="Highlight"/>
            </w:pPr>
          </w:p>
        </w:tc>
        <w:tc>
          <w:tcPr>
            <w:tcW w:w="924" w:type="dxa"/>
            <w:vAlign w:val="bottom"/>
          </w:tcPr>
          <w:p w14:paraId="14E58CE4" w14:textId="3CC60776" w:rsidR="00156262" w:rsidRPr="00156262" w:rsidRDefault="00156262" w:rsidP="00E53EA1">
            <w:pPr>
              <w:pStyle w:val="Highlight"/>
            </w:pPr>
            <w:r w:rsidRPr="00225669">
              <w:t>Grand Total</w:t>
            </w:r>
          </w:p>
        </w:tc>
        <w:tc>
          <w:tcPr>
            <w:tcW w:w="926" w:type="dxa"/>
            <w:vAlign w:val="bottom"/>
          </w:tcPr>
          <w:p w14:paraId="455ACC23" w14:textId="1419065F" w:rsidR="00156262" w:rsidRPr="00156262" w:rsidRDefault="00156262" w:rsidP="00E53EA1">
            <w:pPr>
              <w:pStyle w:val="Highlight"/>
            </w:pPr>
            <w:r w:rsidRPr="00225669">
              <w:t>351.54</w:t>
            </w:r>
          </w:p>
        </w:tc>
      </w:tr>
    </w:tbl>
    <w:p w14:paraId="2EF0748E" w14:textId="77777777" w:rsidR="00156262" w:rsidRDefault="00156262" w:rsidP="00E53EA1">
      <w:pPr>
        <w:pStyle w:val="Highlight"/>
      </w:pPr>
    </w:p>
    <w:p w14:paraId="111B383C" w14:textId="04DA842A" w:rsidR="00156262" w:rsidRDefault="00156262" w:rsidP="00E53EA1">
      <w:pPr>
        <w:pStyle w:val="Highlight"/>
      </w:pPr>
      <w:r>
        <w:t>VAT TO LOCAL GOVERNMENTS</w:t>
      </w:r>
    </w:p>
    <w:tbl>
      <w:tblPr>
        <w:tblStyle w:val="TableGrid"/>
        <w:tblW w:w="0" w:type="auto"/>
        <w:tblLook w:val="04A0" w:firstRow="1" w:lastRow="0" w:firstColumn="1" w:lastColumn="0" w:noHBand="0" w:noVBand="1"/>
      </w:tblPr>
      <w:tblGrid>
        <w:gridCol w:w="905"/>
        <w:gridCol w:w="899"/>
        <w:gridCol w:w="912"/>
        <w:gridCol w:w="1070"/>
        <w:gridCol w:w="916"/>
        <w:gridCol w:w="910"/>
        <w:gridCol w:w="898"/>
        <w:gridCol w:w="898"/>
        <w:gridCol w:w="921"/>
        <w:gridCol w:w="951"/>
      </w:tblGrid>
      <w:tr w:rsidR="00156262" w:rsidRPr="00156262" w14:paraId="743F4F4C" w14:textId="77777777" w:rsidTr="00156262">
        <w:tc>
          <w:tcPr>
            <w:tcW w:w="919" w:type="dxa"/>
          </w:tcPr>
          <w:p w14:paraId="5C490573" w14:textId="77777777" w:rsidR="00156262" w:rsidRPr="00156262" w:rsidRDefault="00156262" w:rsidP="00E53EA1">
            <w:pPr>
              <w:pStyle w:val="Highlight"/>
            </w:pPr>
          </w:p>
        </w:tc>
        <w:tc>
          <w:tcPr>
            <w:tcW w:w="916" w:type="dxa"/>
          </w:tcPr>
          <w:p w14:paraId="7862FAB2" w14:textId="77777777" w:rsidR="00156262" w:rsidRPr="00156262" w:rsidRDefault="00156262" w:rsidP="00E53EA1">
            <w:pPr>
              <w:pStyle w:val="Highlight"/>
            </w:pPr>
            <w:r w:rsidRPr="00410340">
              <w:t>Abia</w:t>
            </w:r>
          </w:p>
        </w:tc>
        <w:tc>
          <w:tcPr>
            <w:tcW w:w="921" w:type="dxa"/>
          </w:tcPr>
          <w:p w14:paraId="08386A6A" w14:textId="77777777" w:rsidR="00156262" w:rsidRPr="00156262" w:rsidRDefault="00156262" w:rsidP="00E53EA1">
            <w:pPr>
              <w:pStyle w:val="Highlight"/>
            </w:pPr>
            <w:r w:rsidRPr="00410340">
              <w:t>Akwa Ibom</w:t>
            </w:r>
          </w:p>
        </w:tc>
        <w:tc>
          <w:tcPr>
            <w:tcW w:w="999" w:type="dxa"/>
          </w:tcPr>
          <w:p w14:paraId="77571FC6" w14:textId="77777777" w:rsidR="00156262" w:rsidRPr="00156262" w:rsidRDefault="00156262" w:rsidP="00E53EA1">
            <w:pPr>
              <w:pStyle w:val="Highlight"/>
            </w:pPr>
            <w:r w:rsidRPr="00410340">
              <w:t>Bayelsa</w:t>
            </w:r>
          </w:p>
        </w:tc>
        <w:tc>
          <w:tcPr>
            <w:tcW w:w="922" w:type="dxa"/>
          </w:tcPr>
          <w:p w14:paraId="646AE2C4" w14:textId="77777777" w:rsidR="00156262" w:rsidRPr="00156262" w:rsidRDefault="00156262" w:rsidP="00E53EA1">
            <w:pPr>
              <w:pStyle w:val="Highlight"/>
            </w:pPr>
            <w:r w:rsidRPr="00410340">
              <w:t>Cross River</w:t>
            </w:r>
          </w:p>
        </w:tc>
        <w:tc>
          <w:tcPr>
            <w:tcW w:w="921" w:type="dxa"/>
          </w:tcPr>
          <w:p w14:paraId="738A7282" w14:textId="77777777" w:rsidR="00156262" w:rsidRPr="00156262" w:rsidRDefault="00156262" w:rsidP="00E53EA1">
            <w:pPr>
              <w:pStyle w:val="Highlight"/>
            </w:pPr>
            <w:r w:rsidRPr="00410340">
              <w:t>Delta</w:t>
            </w:r>
          </w:p>
        </w:tc>
        <w:tc>
          <w:tcPr>
            <w:tcW w:w="916" w:type="dxa"/>
          </w:tcPr>
          <w:p w14:paraId="2157E85A" w14:textId="77777777" w:rsidR="00156262" w:rsidRPr="00156262" w:rsidRDefault="00156262" w:rsidP="00E53EA1">
            <w:pPr>
              <w:pStyle w:val="Highlight"/>
            </w:pPr>
            <w:r w:rsidRPr="00410340">
              <w:t>Edo</w:t>
            </w:r>
          </w:p>
        </w:tc>
        <w:tc>
          <w:tcPr>
            <w:tcW w:w="916" w:type="dxa"/>
          </w:tcPr>
          <w:p w14:paraId="447999BD" w14:textId="77777777" w:rsidR="00156262" w:rsidRPr="00156262" w:rsidRDefault="00156262" w:rsidP="00E53EA1">
            <w:pPr>
              <w:pStyle w:val="Highlight"/>
            </w:pPr>
            <w:r w:rsidRPr="00410340">
              <w:t>Imo</w:t>
            </w:r>
          </w:p>
        </w:tc>
        <w:tc>
          <w:tcPr>
            <w:tcW w:w="924" w:type="dxa"/>
          </w:tcPr>
          <w:p w14:paraId="080BC7B9" w14:textId="77777777" w:rsidR="00156262" w:rsidRPr="00156262" w:rsidRDefault="00156262" w:rsidP="00E53EA1">
            <w:pPr>
              <w:pStyle w:val="Highlight"/>
            </w:pPr>
            <w:r w:rsidRPr="00410340">
              <w:t>Ondo</w:t>
            </w:r>
          </w:p>
        </w:tc>
        <w:tc>
          <w:tcPr>
            <w:tcW w:w="926" w:type="dxa"/>
          </w:tcPr>
          <w:p w14:paraId="46F9B270" w14:textId="77777777" w:rsidR="00156262" w:rsidRPr="00156262" w:rsidRDefault="00156262" w:rsidP="00E53EA1">
            <w:pPr>
              <w:pStyle w:val="Highlight"/>
            </w:pPr>
            <w:r w:rsidRPr="00410340">
              <w:t>Rivers</w:t>
            </w:r>
          </w:p>
        </w:tc>
      </w:tr>
      <w:tr w:rsidR="00156262" w:rsidRPr="00156262" w14:paraId="7082A99B" w14:textId="77777777" w:rsidTr="00156262">
        <w:tc>
          <w:tcPr>
            <w:tcW w:w="919" w:type="dxa"/>
          </w:tcPr>
          <w:p w14:paraId="3BD203EE" w14:textId="77777777" w:rsidR="00156262" w:rsidRPr="00156262" w:rsidRDefault="00156262" w:rsidP="00E53EA1">
            <w:pPr>
              <w:pStyle w:val="Highlight"/>
            </w:pPr>
          </w:p>
        </w:tc>
        <w:tc>
          <w:tcPr>
            <w:tcW w:w="8361" w:type="dxa"/>
            <w:gridSpan w:val="9"/>
          </w:tcPr>
          <w:p w14:paraId="02ED9BE7" w14:textId="77777777" w:rsidR="00156262" w:rsidRPr="00410340" w:rsidRDefault="00156262" w:rsidP="00E53EA1">
            <w:pPr>
              <w:pStyle w:val="Highlight"/>
            </w:pPr>
            <w:r>
              <w:t>Estimated funds (N’billion)</w:t>
            </w:r>
          </w:p>
        </w:tc>
      </w:tr>
      <w:tr w:rsidR="00754887" w:rsidRPr="00156262" w14:paraId="2D8238ED" w14:textId="77777777" w:rsidTr="00156262">
        <w:tc>
          <w:tcPr>
            <w:tcW w:w="919" w:type="dxa"/>
            <w:vAlign w:val="bottom"/>
          </w:tcPr>
          <w:p w14:paraId="5FB1A475" w14:textId="60E671CB" w:rsidR="00754887" w:rsidRPr="00156262" w:rsidRDefault="00754887" w:rsidP="00E53EA1">
            <w:pPr>
              <w:pStyle w:val="Highlight"/>
            </w:pPr>
            <w:r w:rsidRPr="00225669">
              <w:t>2010</w:t>
            </w:r>
          </w:p>
        </w:tc>
        <w:tc>
          <w:tcPr>
            <w:tcW w:w="916" w:type="dxa"/>
            <w:vAlign w:val="bottom"/>
          </w:tcPr>
          <w:p w14:paraId="3CFF04BB" w14:textId="6D13038A" w:rsidR="00754887" w:rsidRPr="00156262" w:rsidRDefault="00754887" w:rsidP="00E53EA1">
            <w:pPr>
              <w:pStyle w:val="Highlight"/>
            </w:pPr>
            <w:r w:rsidRPr="00225669">
              <w:t>3.32</w:t>
            </w:r>
          </w:p>
        </w:tc>
        <w:tc>
          <w:tcPr>
            <w:tcW w:w="921" w:type="dxa"/>
            <w:vAlign w:val="bottom"/>
          </w:tcPr>
          <w:p w14:paraId="1E6546D0" w14:textId="5D8B25CD" w:rsidR="00754887" w:rsidRPr="00156262" w:rsidRDefault="00754887" w:rsidP="00E53EA1">
            <w:pPr>
              <w:pStyle w:val="Highlight"/>
            </w:pPr>
            <w:r w:rsidRPr="00225669">
              <w:t>6.53</w:t>
            </w:r>
          </w:p>
        </w:tc>
        <w:tc>
          <w:tcPr>
            <w:tcW w:w="999" w:type="dxa"/>
            <w:vAlign w:val="bottom"/>
          </w:tcPr>
          <w:p w14:paraId="2E5A5AFA" w14:textId="3C969E4A" w:rsidR="00754887" w:rsidRPr="00156262" w:rsidRDefault="00754887" w:rsidP="00E53EA1">
            <w:pPr>
              <w:pStyle w:val="Highlight"/>
            </w:pPr>
            <w:r w:rsidRPr="00225669">
              <w:t>1.83</w:t>
            </w:r>
          </w:p>
        </w:tc>
        <w:tc>
          <w:tcPr>
            <w:tcW w:w="922" w:type="dxa"/>
            <w:vAlign w:val="bottom"/>
          </w:tcPr>
          <w:p w14:paraId="5B60F240" w14:textId="28AD5A02" w:rsidR="00754887" w:rsidRPr="00156262" w:rsidRDefault="00754887" w:rsidP="00E53EA1">
            <w:pPr>
              <w:pStyle w:val="Highlight"/>
            </w:pPr>
            <w:r w:rsidRPr="00225669">
              <w:t>3.49</w:t>
            </w:r>
          </w:p>
        </w:tc>
        <w:tc>
          <w:tcPr>
            <w:tcW w:w="921" w:type="dxa"/>
            <w:vAlign w:val="bottom"/>
          </w:tcPr>
          <w:p w14:paraId="313A5B64" w14:textId="72045C66" w:rsidR="00754887" w:rsidRPr="00156262" w:rsidRDefault="00754887" w:rsidP="00E53EA1">
            <w:pPr>
              <w:pStyle w:val="Highlight"/>
            </w:pPr>
            <w:r w:rsidRPr="00225669">
              <w:t>5.42</w:t>
            </w:r>
          </w:p>
        </w:tc>
        <w:tc>
          <w:tcPr>
            <w:tcW w:w="916" w:type="dxa"/>
            <w:vAlign w:val="bottom"/>
          </w:tcPr>
          <w:p w14:paraId="26D0D283" w14:textId="085D78CC" w:rsidR="00754887" w:rsidRPr="00156262" w:rsidRDefault="00754887" w:rsidP="00E53EA1">
            <w:pPr>
              <w:pStyle w:val="Highlight"/>
            </w:pPr>
            <w:r w:rsidRPr="00225669">
              <w:t>3.89</w:t>
            </w:r>
          </w:p>
        </w:tc>
        <w:tc>
          <w:tcPr>
            <w:tcW w:w="916" w:type="dxa"/>
            <w:vAlign w:val="bottom"/>
          </w:tcPr>
          <w:p w14:paraId="3428B47F" w14:textId="0070BC8A" w:rsidR="00754887" w:rsidRPr="00156262" w:rsidRDefault="00754887" w:rsidP="00E53EA1">
            <w:pPr>
              <w:pStyle w:val="Highlight"/>
            </w:pPr>
            <w:r w:rsidRPr="00225669">
              <w:t>5.02</w:t>
            </w:r>
          </w:p>
        </w:tc>
        <w:tc>
          <w:tcPr>
            <w:tcW w:w="924" w:type="dxa"/>
            <w:vAlign w:val="bottom"/>
          </w:tcPr>
          <w:p w14:paraId="18A13BDD" w14:textId="429DE3F9" w:rsidR="00754887" w:rsidRPr="00156262" w:rsidRDefault="00754887" w:rsidP="00E53EA1">
            <w:pPr>
              <w:pStyle w:val="Highlight"/>
            </w:pPr>
            <w:r w:rsidRPr="00225669">
              <w:t>3.79</w:t>
            </w:r>
          </w:p>
        </w:tc>
        <w:tc>
          <w:tcPr>
            <w:tcW w:w="926" w:type="dxa"/>
            <w:vAlign w:val="bottom"/>
          </w:tcPr>
          <w:p w14:paraId="7C824AF3" w14:textId="2B12E729" w:rsidR="00754887" w:rsidRPr="00156262" w:rsidRDefault="00754887" w:rsidP="00E53EA1">
            <w:pPr>
              <w:pStyle w:val="Highlight"/>
            </w:pPr>
            <w:r w:rsidRPr="00225669">
              <w:t>7.17</w:t>
            </w:r>
          </w:p>
        </w:tc>
      </w:tr>
      <w:tr w:rsidR="00754887" w:rsidRPr="00156262" w14:paraId="1AF6A7EE" w14:textId="77777777" w:rsidTr="00156262">
        <w:tc>
          <w:tcPr>
            <w:tcW w:w="919" w:type="dxa"/>
            <w:vAlign w:val="bottom"/>
          </w:tcPr>
          <w:p w14:paraId="77CE9E42" w14:textId="60B5B385" w:rsidR="00754887" w:rsidRPr="00156262" w:rsidRDefault="00754887" w:rsidP="00E53EA1">
            <w:pPr>
              <w:pStyle w:val="Highlight"/>
            </w:pPr>
            <w:r w:rsidRPr="00225669">
              <w:t>2011</w:t>
            </w:r>
          </w:p>
        </w:tc>
        <w:tc>
          <w:tcPr>
            <w:tcW w:w="916" w:type="dxa"/>
            <w:vAlign w:val="bottom"/>
          </w:tcPr>
          <w:p w14:paraId="4C9A32BA" w14:textId="78BA9251" w:rsidR="00754887" w:rsidRPr="00156262" w:rsidRDefault="00754887" w:rsidP="00E53EA1">
            <w:pPr>
              <w:pStyle w:val="Highlight"/>
            </w:pPr>
            <w:r w:rsidRPr="00225669">
              <w:t>3.85</w:t>
            </w:r>
          </w:p>
        </w:tc>
        <w:tc>
          <w:tcPr>
            <w:tcW w:w="921" w:type="dxa"/>
            <w:vAlign w:val="bottom"/>
          </w:tcPr>
          <w:p w14:paraId="5298E103" w14:textId="2132F41B" w:rsidR="00754887" w:rsidRPr="00156262" w:rsidRDefault="00754887" w:rsidP="00E53EA1">
            <w:pPr>
              <w:pStyle w:val="Highlight"/>
            </w:pPr>
            <w:r w:rsidRPr="00225669">
              <w:t>7.02</w:t>
            </w:r>
          </w:p>
        </w:tc>
        <w:tc>
          <w:tcPr>
            <w:tcW w:w="999" w:type="dxa"/>
            <w:vAlign w:val="bottom"/>
          </w:tcPr>
          <w:p w14:paraId="4DFD08F4" w14:textId="28565190" w:rsidR="00754887" w:rsidRPr="00156262" w:rsidRDefault="00754887" w:rsidP="00E53EA1">
            <w:pPr>
              <w:pStyle w:val="Highlight"/>
            </w:pPr>
            <w:r w:rsidRPr="00225669">
              <w:t>2.21</w:t>
            </w:r>
          </w:p>
        </w:tc>
        <w:tc>
          <w:tcPr>
            <w:tcW w:w="922" w:type="dxa"/>
            <w:vAlign w:val="bottom"/>
          </w:tcPr>
          <w:p w14:paraId="7F4D62CF" w14:textId="6578AFFD" w:rsidR="00754887" w:rsidRPr="00156262" w:rsidRDefault="00754887" w:rsidP="00E53EA1">
            <w:pPr>
              <w:pStyle w:val="Highlight"/>
            </w:pPr>
            <w:r w:rsidRPr="00225669">
              <w:t>4.06</w:t>
            </w:r>
          </w:p>
        </w:tc>
        <w:tc>
          <w:tcPr>
            <w:tcW w:w="921" w:type="dxa"/>
            <w:vAlign w:val="bottom"/>
          </w:tcPr>
          <w:p w14:paraId="56D4AE29" w14:textId="5CBFE711" w:rsidR="00754887" w:rsidRPr="00156262" w:rsidRDefault="00754887" w:rsidP="00E53EA1">
            <w:pPr>
              <w:pStyle w:val="Highlight"/>
            </w:pPr>
            <w:r w:rsidRPr="00225669">
              <w:t>6.42</w:t>
            </w:r>
          </w:p>
        </w:tc>
        <w:tc>
          <w:tcPr>
            <w:tcW w:w="916" w:type="dxa"/>
            <w:vAlign w:val="bottom"/>
          </w:tcPr>
          <w:p w14:paraId="382A4A9D" w14:textId="125FB3DC" w:rsidR="00754887" w:rsidRPr="00156262" w:rsidRDefault="00754887" w:rsidP="00E53EA1">
            <w:pPr>
              <w:pStyle w:val="Highlight"/>
            </w:pPr>
            <w:r w:rsidRPr="00225669">
              <w:t>4.48</w:t>
            </w:r>
          </w:p>
        </w:tc>
        <w:tc>
          <w:tcPr>
            <w:tcW w:w="916" w:type="dxa"/>
            <w:vAlign w:val="bottom"/>
          </w:tcPr>
          <w:p w14:paraId="497D3C35" w14:textId="65EC475E" w:rsidR="00754887" w:rsidRPr="00156262" w:rsidRDefault="00754887" w:rsidP="00E53EA1">
            <w:pPr>
              <w:pStyle w:val="Highlight"/>
            </w:pPr>
            <w:r w:rsidRPr="00225669">
              <w:t>5.87</w:t>
            </w:r>
          </w:p>
        </w:tc>
        <w:tc>
          <w:tcPr>
            <w:tcW w:w="924" w:type="dxa"/>
            <w:vAlign w:val="bottom"/>
          </w:tcPr>
          <w:p w14:paraId="647B888E" w14:textId="66DF657D" w:rsidR="00754887" w:rsidRPr="00156262" w:rsidRDefault="00754887" w:rsidP="00E53EA1">
            <w:pPr>
              <w:pStyle w:val="Highlight"/>
            </w:pPr>
            <w:r w:rsidRPr="00225669">
              <w:t>4.41</w:t>
            </w:r>
          </w:p>
        </w:tc>
        <w:tc>
          <w:tcPr>
            <w:tcW w:w="926" w:type="dxa"/>
            <w:vAlign w:val="bottom"/>
          </w:tcPr>
          <w:p w14:paraId="72329E7A" w14:textId="3798A966" w:rsidR="00754887" w:rsidRPr="00156262" w:rsidRDefault="00754887" w:rsidP="00E53EA1">
            <w:pPr>
              <w:pStyle w:val="Highlight"/>
            </w:pPr>
            <w:r w:rsidRPr="00225669">
              <w:t>7.59</w:t>
            </w:r>
          </w:p>
        </w:tc>
      </w:tr>
      <w:tr w:rsidR="00754887" w:rsidRPr="00156262" w14:paraId="14054016" w14:textId="77777777" w:rsidTr="00156262">
        <w:tc>
          <w:tcPr>
            <w:tcW w:w="919" w:type="dxa"/>
            <w:vAlign w:val="bottom"/>
          </w:tcPr>
          <w:p w14:paraId="039527D0" w14:textId="1517E23A" w:rsidR="00754887" w:rsidRPr="00156262" w:rsidRDefault="00754887" w:rsidP="00E53EA1">
            <w:pPr>
              <w:pStyle w:val="Highlight"/>
            </w:pPr>
            <w:r w:rsidRPr="00225669">
              <w:t>2012</w:t>
            </w:r>
          </w:p>
        </w:tc>
        <w:tc>
          <w:tcPr>
            <w:tcW w:w="916" w:type="dxa"/>
            <w:vAlign w:val="bottom"/>
          </w:tcPr>
          <w:p w14:paraId="0C24FB95" w14:textId="7030FD52" w:rsidR="00754887" w:rsidRPr="00156262" w:rsidRDefault="00754887" w:rsidP="00E53EA1">
            <w:pPr>
              <w:pStyle w:val="Highlight"/>
            </w:pPr>
            <w:r w:rsidRPr="00225669">
              <w:t>4.19</w:t>
            </w:r>
          </w:p>
        </w:tc>
        <w:tc>
          <w:tcPr>
            <w:tcW w:w="921" w:type="dxa"/>
            <w:vAlign w:val="bottom"/>
          </w:tcPr>
          <w:p w14:paraId="01D42C45" w14:textId="34DA75AA" w:rsidR="00754887" w:rsidRPr="00156262" w:rsidRDefault="00754887" w:rsidP="00E53EA1">
            <w:pPr>
              <w:pStyle w:val="Highlight"/>
            </w:pPr>
            <w:r w:rsidRPr="00225669">
              <w:t>7.83</w:t>
            </w:r>
          </w:p>
        </w:tc>
        <w:tc>
          <w:tcPr>
            <w:tcW w:w="999" w:type="dxa"/>
            <w:vAlign w:val="bottom"/>
          </w:tcPr>
          <w:p w14:paraId="43B2FBD4" w14:textId="39E73329" w:rsidR="00754887" w:rsidRPr="00156262" w:rsidRDefault="00754887" w:rsidP="00E53EA1">
            <w:pPr>
              <w:pStyle w:val="Highlight"/>
            </w:pPr>
            <w:r w:rsidRPr="00225669">
              <w:t>2.46</w:t>
            </w:r>
          </w:p>
        </w:tc>
        <w:tc>
          <w:tcPr>
            <w:tcW w:w="922" w:type="dxa"/>
            <w:vAlign w:val="bottom"/>
          </w:tcPr>
          <w:p w14:paraId="4473C6AA" w14:textId="781961A5" w:rsidR="00754887" w:rsidRPr="00156262" w:rsidRDefault="00754887" w:rsidP="00E53EA1">
            <w:pPr>
              <w:pStyle w:val="Highlight"/>
            </w:pPr>
            <w:r w:rsidRPr="00225669">
              <w:t>4.34</w:t>
            </w:r>
          </w:p>
        </w:tc>
        <w:tc>
          <w:tcPr>
            <w:tcW w:w="921" w:type="dxa"/>
            <w:vAlign w:val="bottom"/>
          </w:tcPr>
          <w:p w14:paraId="28993FA7" w14:textId="787FDD19" w:rsidR="00754887" w:rsidRPr="00156262" w:rsidRDefault="00754887" w:rsidP="00E53EA1">
            <w:pPr>
              <w:pStyle w:val="Highlight"/>
            </w:pPr>
            <w:r w:rsidRPr="00225669">
              <w:t>6.89</w:t>
            </w:r>
          </w:p>
        </w:tc>
        <w:tc>
          <w:tcPr>
            <w:tcW w:w="916" w:type="dxa"/>
            <w:vAlign w:val="bottom"/>
          </w:tcPr>
          <w:p w14:paraId="1A2B9F9E" w14:textId="5387850C" w:rsidR="00754887" w:rsidRPr="00156262" w:rsidRDefault="00754887" w:rsidP="00E53EA1">
            <w:pPr>
              <w:pStyle w:val="Highlight"/>
            </w:pPr>
            <w:r w:rsidRPr="00225669">
              <w:t>4.88</w:t>
            </w:r>
          </w:p>
        </w:tc>
        <w:tc>
          <w:tcPr>
            <w:tcW w:w="916" w:type="dxa"/>
            <w:vAlign w:val="bottom"/>
          </w:tcPr>
          <w:p w14:paraId="169741D9" w14:textId="7A3B8A57" w:rsidR="00754887" w:rsidRPr="00156262" w:rsidRDefault="00754887" w:rsidP="00E53EA1">
            <w:pPr>
              <w:pStyle w:val="Highlight"/>
            </w:pPr>
            <w:r w:rsidRPr="00225669">
              <w:t>6.34</w:t>
            </w:r>
          </w:p>
        </w:tc>
        <w:tc>
          <w:tcPr>
            <w:tcW w:w="924" w:type="dxa"/>
            <w:vAlign w:val="bottom"/>
          </w:tcPr>
          <w:p w14:paraId="43C5E651" w14:textId="364A827E" w:rsidR="00754887" w:rsidRPr="00156262" w:rsidRDefault="00754887" w:rsidP="00E53EA1">
            <w:pPr>
              <w:pStyle w:val="Highlight"/>
            </w:pPr>
            <w:r w:rsidRPr="00225669">
              <w:t>4.74</w:t>
            </w:r>
          </w:p>
        </w:tc>
        <w:tc>
          <w:tcPr>
            <w:tcW w:w="926" w:type="dxa"/>
            <w:vAlign w:val="bottom"/>
          </w:tcPr>
          <w:p w14:paraId="1A218C04" w14:textId="4CA7F10B" w:rsidR="00754887" w:rsidRPr="00156262" w:rsidRDefault="00754887" w:rsidP="00E53EA1">
            <w:pPr>
              <w:pStyle w:val="Highlight"/>
            </w:pPr>
            <w:r w:rsidRPr="00225669">
              <w:t>8.13</w:t>
            </w:r>
          </w:p>
        </w:tc>
      </w:tr>
      <w:tr w:rsidR="00754887" w:rsidRPr="00156262" w14:paraId="1D0731B2" w14:textId="77777777" w:rsidTr="00156262">
        <w:tc>
          <w:tcPr>
            <w:tcW w:w="919" w:type="dxa"/>
            <w:vAlign w:val="bottom"/>
          </w:tcPr>
          <w:p w14:paraId="28783C2C" w14:textId="10E0AD41" w:rsidR="00754887" w:rsidRPr="00156262" w:rsidRDefault="00754887" w:rsidP="00E53EA1">
            <w:pPr>
              <w:pStyle w:val="Highlight"/>
            </w:pPr>
            <w:r w:rsidRPr="00225669">
              <w:t>2013</w:t>
            </w:r>
          </w:p>
        </w:tc>
        <w:tc>
          <w:tcPr>
            <w:tcW w:w="916" w:type="dxa"/>
            <w:vAlign w:val="bottom"/>
          </w:tcPr>
          <w:p w14:paraId="27A935F5" w14:textId="7CE42615" w:rsidR="00754887" w:rsidRPr="00156262" w:rsidRDefault="00754887" w:rsidP="00E53EA1">
            <w:pPr>
              <w:pStyle w:val="Highlight"/>
            </w:pPr>
            <w:r w:rsidRPr="00225669">
              <w:t>4.73</w:t>
            </w:r>
          </w:p>
        </w:tc>
        <w:tc>
          <w:tcPr>
            <w:tcW w:w="921" w:type="dxa"/>
            <w:vAlign w:val="bottom"/>
          </w:tcPr>
          <w:p w14:paraId="2187C6E8" w14:textId="2B960822" w:rsidR="00754887" w:rsidRPr="00156262" w:rsidRDefault="00754887" w:rsidP="00E53EA1">
            <w:pPr>
              <w:pStyle w:val="Highlight"/>
            </w:pPr>
            <w:r w:rsidRPr="00225669">
              <w:t>8.39</w:t>
            </w:r>
          </w:p>
        </w:tc>
        <w:tc>
          <w:tcPr>
            <w:tcW w:w="999" w:type="dxa"/>
            <w:vAlign w:val="bottom"/>
          </w:tcPr>
          <w:p w14:paraId="70E67005" w14:textId="0EFCFE31" w:rsidR="00754887" w:rsidRPr="00156262" w:rsidRDefault="00754887" w:rsidP="00E53EA1">
            <w:pPr>
              <w:pStyle w:val="Highlight"/>
            </w:pPr>
            <w:r w:rsidRPr="00225669">
              <w:t>2.91</w:t>
            </w:r>
          </w:p>
        </w:tc>
        <w:tc>
          <w:tcPr>
            <w:tcW w:w="922" w:type="dxa"/>
            <w:vAlign w:val="bottom"/>
          </w:tcPr>
          <w:p w14:paraId="5364636E" w14:textId="7A92324C" w:rsidR="00754887" w:rsidRPr="00156262" w:rsidRDefault="00754887" w:rsidP="00E53EA1">
            <w:pPr>
              <w:pStyle w:val="Highlight"/>
            </w:pPr>
            <w:r w:rsidRPr="00225669">
              <w:t>5.01</w:t>
            </w:r>
          </w:p>
        </w:tc>
        <w:tc>
          <w:tcPr>
            <w:tcW w:w="921" w:type="dxa"/>
            <w:vAlign w:val="bottom"/>
          </w:tcPr>
          <w:p w14:paraId="4D47574A" w14:textId="08E6737C" w:rsidR="00754887" w:rsidRPr="00156262" w:rsidRDefault="00754887" w:rsidP="00E53EA1">
            <w:pPr>
              <w:pStyle w:val="Highlight"/>
            </w:pPr>
            <w:r w:rsidRPr="00225669">
              <w:t>7.54</w:t>
            </w:r>
          </w:p>
        </w:tc>
        <w:tc>
          <w:tcPr>
            <w:tcW w:w="916" w:type="dxa"/>
            <w:vAlign w:val="bottom"/>
          </w:tcPr>
          <w:p w14:paraId="44EC940A" w14:textId="0A04D6D3" w:rsidR="00754887" w:rsidRPr="00156262" w:rsidRDefault="00754887" w:rsidP="00E53EA1">
            <w:pPr>
              <w:pStyle w:val="Highlight"/>
            </w:pPr>
            <w:r w:rsidRPr="00225669">
              <w:t>5.28</w:t>
            </w:r>
          </w:p>
        </w:tc>
        <w:tc>
          <w:tcPr>
            <w:tcW w:w="916" w:type="dxa"/>
            <w:vAlign w:val="bottom"/>
          </w:tcPr>
          <w:p w14:paraId="42F81B86" w14:textId="29E4DF5C" w:rsidR="00754887" w:rsidRPr="00156262" w:rsidRDefault="00754887" w:rsidP="00E53EA1">
            <w:pPr>
              <w:pStyle w:val="Highlight"/>
            </w:pPr>
            <w:r w:rsidRPr="00225669">
              <w:t>7.24</w:t>
            </w:r>
          </w:p>
        </w:tc>
        <w:tc>
          <w:tcPr>
            <w:tcW w:w="924" w:type="dxa"/>
            <w:vAlign w:val="bottom"/>
          </w:tcPr>
          <w:p w14:paraId="4344BFFE" w14:textId="214463F4" w:rsidR="00754887" w:rsidRPr="00156262" w:rsidRDefault="00754887" w:rsidP="00E53EA1">
            <w:pPr>
              <w:pStyle w:val="Highlight"/>
            </w:pPr>
            <w:r w:rsidRPr="00225669">
              <w:t>5.29</w:t>
            </w:r>
          </w:p>
        </w:tc>
        <w:tc>
          <w:tcPr>
            <w:tcW w:w="926" w:type="dxa"/>
            <w:vAlign w:val="bottom"/>
          </w:tcPr>
          <w:p w14:paraId="3F8644B9" w14:textId="457E7812" w:rsidR="00754887" w:rsidRPr="00156262" w:rsidRDefault="00754887" w:rsidP="00E53EA1">
            <w:pPr>
              <w:pStyle w:val="Highlight"/>
            </w:pPr>
            <w:r w:rsidRPr="00225669">
              <w:t>9.77</w:t>
            </w:r>
          </w:p>
        </w:tc>
      </w:tr>
      <w:tr w:rsidR="00754887" w:rsidRPr="00156262" w14:paraId="5E1A2196" w14:textId="77777777" w:rsidTr="00156262">
        <w:tc>
          <w:tcPr>
            <w:tcW w:w="919" w:type="dxa"/>
            <w:vAlign w:val="bottom"/>
          </w:tcPr>
          <w:p w14:paraId="380A2DE4" w14:textId="3408FEF3" w:rsidR="00754887" w:rsidRPr="00156262" w:rsidRDefault="00754887" w:rsidP="00E53EA1">
            <w:pPr>
              <w:pStyle w:val="Highlight"/>
            </w:pPr>
            <w:r w:rsidRPr="00225669">
              <w:t>2014</w:t>
            </w:r>
          </w:p>
        </w:tc>
        <w:tc>
          <w:tcPr>
            <w:tcW w:w="916" w:type="dxa"/>
            <w:vAlign w:val="bottom"/>
          </w:tcPr>
          <w:p w14:paraId="798F4E74" w14:textId="48AAE05A" w:rsidR="00754887" w:rsidRPr="00156262" w:rsidRDefault="00754887" w:rsidP="00E53EA1">
            <w:pPr>
              <w:pStyle w:val="Highlight"/>
            </w:pPr>
            <w:r w:rsidRPr="00225669">
              <w:t>4.35</w:t>
            </w:r>
          </w:p>
        </w:tc>
        <w:tc>
          <w:tcPr>
            <w:tcW w:w="921" w:type="dxa"/>
            <w:vAlign w:val="bottom"/>
          </w:tcPr>
          <w:p w14:paraId="09C1B50D" w14:textId="32177668" w:rsidR="00754887" w:rsidRPr="00156262" w:rsidRDefault="00754887" w:rsidP="00E53EA1">
            <w:pPr>
              <w:pStyle w:val="Highlight"/>
            </w:pPr>
            <w:r w:rsidRPr="00225669">
              <w:t>7.26</w:t>
            </w:r>
          </w:p>
        </w:tc>
        <w:tc>
          <w:tcPr>
            <w:tcW w:w="999" w:type="dxa"/>
            <w:vAlign w:val="bottom"/>
          </w:tcPr>
          <w:p w14:paraId="674B5F67" w14:textId="5E3A55E6" w:rsidR="00754887" w:rsidRPr="00156262" w:rsidRDefault="00754887" w:rsidP="00E53EA1">
            <w:pPr>
              <w:pStyle w:val="Highlight"/>
            </w:pPr>
            <w:r w:rsidRPr="00225669">
              <w:t>2.58</w:t>
            </w:r>
          </w:p>
        </w:tc>
        <w:tc>
          <w:tcPr>
            <w:tcW w:w="922" w:type="dxa"/>
            <w:vAlign w:val="bottom"/>
          </w:tcPr>
          <w:p w14:paraId="5197EEA6" w14:textId="784AA516" w:rsidR="00754887" w:rsidRPr="00156262" w:rsidRDefault="00754887" w:rsidP="00E53EA1">
            <w:pPr>
              <w:pStyle w:val="Highlight"/>
            </w:pPr>
            <w:r w:rsidRPr="00225669">
              <w:t>4.64</w:t>
            </w:r>
          </w:p>
        </w:tc>
        <w:tc>
          <w:tcPr>
            <w:tcW w:w="921" w:type="dxa"/>
            <w:vAlign w:val="bottom"/>
          </w:tcPr>
          <w:p w14:paraId="4CAB364A" w14:textId="024794D9" w:rsidR="00754887" w:rsidRPr="00156262" w:rsidRDefault="00754887" w:rsidP="00E53EA1">
            <w:pPr>
              <w:pStyle w:val="Highlight"/>
            </w:pPr>
            <w:r w:rsidRPr="00225669">
              <w:t>6.65</w:t>
            </w:r>
          </w:p>
        </w:tc>
        <w:tc>
          <w:tcPr>
            <w:tcW w:w="916" w:type="dxa"/>
            <w:vAlign w:val="bottom"/>
          </w:tcPr>
          <w:p w14:paraId="5F4E8282" w14:textId="41723BAC" w:rsidR="00754887" w:rsidRPr="00156262" w:rsidRDefault="00754887" w:rsidP="00E53EA1">
            <w:pPr>
              <w:pStyle w:val="Highlight"/>
            </w:pPr>
            <w:r w:rsidRPr="00225669">
              <w:t>4.88</w:t>
            </w:r>
          </w:p>
        </w:tc>
        <w:tc>
          <w:tcPr>
            <w:tcW w:w="916" w:type="dxa"/>
            <w:vAlign w:val="bottom"/>
          </w:tcPr>
          <w:p w14:paraId="61F195F5" w14:textId="7188302A" w:rsidR="00754887" w:rsidRPr="00156262" w:rsidRDefault="00754887" w:rsidP="00E53EA1">
            <w:pPr>
              <w:pStyle w:val="Highlight"/>
            </w:pPr>
            <w:r w:rsidRPr="00225669">
              <w:t>6.52</w:t>
            </w:r>
          </w:p>
        </w:tc>
        <w:tc>
          <w:tcPr>
            <w:tcW w:w="924" w:type="dxa"/>
            <w:vAlign w:val="bottom"/>
          </w:tcPr>
          <w:p w14:paraId="0C12C4F4" w14:textId="4E52A798" w:rsidR="00754887" w:rsidRPr="00156262" w:rsidRDefault="00754887" w:rsidP="00E53EA1">
            <w:pPr>
              <w:pStyle w:val="Highlight"/>
            </w:pPr>
            <w:r w:rsidRPr="00225669">
              <w:t>4.80</w:t>
            </w:r>
          </w:p>
        </w:tc>
        <w:tc>
          <w:tcPr>
            <w:tcW w:w="926" w:type="dxa"/>
            <w:vAlign w:val="bottom"/>
          </w:tcPr>
          <w:p w14:paraId="471A7C2A" w14:textId="6104EB5E" w:rsidR="00754887" w:rsidRPr="00156262" w:rsidRDefault="00754887" w:rsidP="00E53EA1">
            <w:pPr>
              <w:pStyle w:val="Highlight"/>
            </w:pPr>
            <w:r w:rsidRPr="00225669">
              <w:t>8.25</w:t>
            </w:r>
          </w:p>
        </w:tc>
      </w:tr>
      <w:tr w:rsidR="00754887" w:rsidRPr="00156262" w14:paraId="03F325B6" w14:textId="77777777" w:rsidTr="00156262">
        <w:tc>
          <w:tcPr>
            <w:tcW w:w="919" w:type="dxa"/>
            <w:vAlign w:val="bottom"/>
          </w:tcPr>
          <w:p w14:paraId="2B875887" w14:textId="168934D1" w:rsidR="00754887" w:rsidRPr="00156262" w:rsidRDefault="00754887" w:rsidP="00E53EA1">
            <w:pPr>
              <w:pStyle w:val="Highlight"/>
            </w:pPr>
            <w:r w:rsidRPr="00225669">
              <w:t> </w:t>
            </w:r>
          </w:p>
        </w:tc>
        <w:tc>
          <w:tcPr>
            <w:tcW w:w="916" w:type="dxa"/>
            <w:vAlign w:val="bottom"/>
          </w:tcPr>
          <w:p w14:paraId="025BEF24" w14:textId="77777777" w:rsidR="00754887" w:rsidRPr="00156262" w:rsidRDefault="00754887" w:rsidP="00E53EA1">
            <w:pPr>
              <w:pStyle w:val="Highlight"/>
            </w:pPr>
          </w:p>
        </w:tc>
        <w:tc>
          <w:tcPr>
            <w:tcW w:w="921" w:type="dxa"/>
            <w:vAlign w:val="bottom"/>
          </w:tcPr>
          <w:p w14:paraId="1BF1DF1E" w14:textId="77777777" w:rsidR="00754887" w:rsidRPr="00156262" w:rsidRDefault="00754887" w:rsidP="00E53EA1">
            <w:pPr>
              <w:pStyle w:val="Highlight"/>
            </w:pPr>
          </w:p>
        </w:tc>
        <w:tc>
          <w:tcPr>
            <w:tcW w:w="999" w:type="dxa"/>
            <w:vAlign w:val="bottom"/>
          </w:tcPr>
          <w:p w14:paraId="29094DBB" w14:textId="77777777" w:rsidR="00754887" w:rsidRPr="00156262" w:rsidRDefault="00754887" w:rsidP="00E53EA1">
            <w:pPr>
              <w:pStyle w:val="Highlight"/>
            </w:pPr>
          </w:p>
        </w:tc>
        <w:tc>
          <w:tcPr>
            <w:tcW w:w="922" w:type="dxa"/>
            <w:vAlign w:val="bottom"/>
          </w:tcPr>
          <w:p w14:paraId="64F7C284" w14:textId="77777777" w:rsidR="00754887" w:rsidRPr="00156262" w:rsidRDefault="00754887" w:rsidP="00E53EA1">
            <w:pPr>
              <w:pStyle w:val="Highlight"/>
            </w:pPr>
          </w:p>
        </w:tc>
        <w:tc>
          <w:tcPr>
            <w:tcW w:w="921" w:type="dxa"/>
            <w:vAlign w:val="bottom"/>
          </w:tcPr>
          <w:p w14:paraId="0FEE3C04" w14:textId="77777777" w:rsidR="00754887" w:rsidRPr="00156262" w:rsidRDefault="00754887" w:rsidP="00E53EA1">
            <w:pPr>
              <w:pStyle w:val="Highlight"/>
            </w:pPr>
          </w:p>
        </w:tc>
        <w:tc>
          <w:tcPr>
            <w:tcW w:w="916" w:type="dxa"/>
            <w:vAlign w:val="bottom"/>
          </w:tcPr>
          <w:p w14:paraId="418114CF" w14:textId="77777777" w:rsidR="00754887" w:rsidRPr="00156262" w:rsidRDefault="00754887" w:rsidP="00E53EA1">
            <w:pPr>
              <w:pStyle w:val="Highlight"/>
            </w:pPr>
          </w:p>
        </w:tc>
        <w:tc>
          <w:tcPr>
            <w:tcW w:w="916" w:type="dxa"/>
            <w:vAlign w:val="bottom"/>
          </w:tcPr>
          <w:p w14:paraId="10081B40" w14:textId="77777777" w:rsidR="00754887" w:rsidRPr="00156262" w:rsidRDefault="00754887" w:rsidP="00E53EA1">
            <w:pPr>
              <w:pStyle w:val="Highlight"/>
            </w:pPr>
          </w:p>
        </w:tc>
        <w:tc>
          <w:tcPr>
            <w:tcW w:w="924" w:type="dxa"/>
            <w:vAlign w:val="bottom"/>
          </w:tcPr>
          <w:p w14:paraId="220A15C2" w14:textId="4FD59979" w:rsidR="00754887" w:rsidRPr="00156262" w:rsidRDefault="00754887" w:rsidP="00E53EA1">
            <w:pPr>
              <w:pStyle w:val="Highlight"/>
            </w:pPr>
            <w:r w:rsidRPr="00225669">
              <w:t>Grand Total</w:t>
            </w:r>
          </w:p>
        </w:tc>
        <w:tc>
          <w:tcPr>
            <w:tcW w:w="926" w:type="dxa"/>
            <w:vAlign w:val="bottom"/>
          </w:tcPr>
          <w:p w14:paraId="77F16D18" w14:textId="15EE5892" w:rsidR="00754887" w:rsidRPr="00156262" w:rsidRDefault="00754887" w:rsidP="00E53EA1">
            <w:pPr>
              <w:pStyle w:val="Highlight"/>
            </w:pPr>
            <w:r w:rsidRPr="00225669">
              <w:t>242.26</w:t>
            </w:r>
          </w:p>
        </w:tc>
      </w:tr>
    </w:tbl>
    <w:p w14:paraId="64F9E131" w14:textId="77777777" w:rsidR="009E259A" w:rsidRPr="00605344" w:rsidRDefault="009E259A" w:rsidP="00E53EA1">
      <w:pPr>
        <w:pStyle w:val="Highlight"/>
      </w:pPr>
      <w:r w:rsidRPr="00605344">
        <w:t xml:space="preserve">Source: </w:t>
      </w:r>
    </w:p>
    <w:p w14:paraId="61411394" w14:textId="77777777" w:rsidR="009E259A" w:rsidRPr="00605344" w:rsidRDefault="009E259A" w:rsidP="00E53EA1">
      <w:pPr>
        <w:pStyle w:val="Highlight"/>
        <w:numPr>
          <w:ilvl w:val="0"/>
          <w:numId w:val="17"/>
        </w:numPr>
      </w:pPr>
      <w:r w:rsidRPr="00605344">
        <w:t>Office of the Accountant General of the Federation</w:t>
      </w:r>
    </w:p>
    <w:p w14:paraId="1898FB7F" w14:textId="77777777" w:rsidR="009E259A" w:rsidRPr="00605344" w:rsidRDefault="009E259A" w:rsidP="00E53EA1">
      <w:pPr>
        <w:pStyle w:val="Highlight"/>
        <w:numPr>
          <w:ilvl w:val="0"/>
          <w:numId w:val="17"/>
        </w:numPr>
      </w:pPr>
      <w:r w:rsidRPr="00605344">
        <w:t>Analysis by Nextier (2015)</w:t>
      </w:r>
    </w:p>
    <w:p w14:paraId="3FF4EBBD" w14:textId="77777777" w:rsidR="009E259A" w:rsidRDefault="009E259A" w:rsidP="00E53EA1">
      <w:pPr>
        <w:pStyle w:val="Highlight"/>
      </w:pPr>
    </w:p>
    <w:p w14:paraId="73C88B17" w14:textId="77777777" w:rsidR="00754887" w:rsidRPr="00225669" w:rsidRDefault="00754887" w:rsidP="00E53EA1">
      <w:pPr>
        <w:pStyle w:val="Highlight"/>
      </w:pPr>
    </w:p>
    <w:p w14:paraId="320478C5" w14:textId="77777777" w:rsidR="009E259A" w:rsidRDefault="009E259A" w:rsidP="00EB2031">
      <w:pPr>
        <w:pStyle w:val="TableList"/>
      </w:pPr>
      <w:bookmarkStart w:id="55" w:name="_Toc311707944"/>
      <w:r w:rsidRPr="00225669">
        <w:t>Oil Companies (GMoU)</w:t>
      </w:r>
      <w:bookmarkEnd w:id="55"/>
    </w:p>
    <w:p w14:paraId="26BB5336" w14:textId="77777777" w:rsidR="00605344" w:rsidRDefault="00605344" w:rsidP="00E53EA1">
      <w:pPr>
        <w:pStyle w:val="Highlight"/>
      </w:pPr>
    </w:p>
    <w:tbl>
      <w:tblPr>
        <w:tblStyle w:val="TableGrid"/>
        <w:tblW w:w="0" w:type="auto"/>
        <w:tblLook w:val="04A0" w:firstRow="1" w:lastRow="0" w:firstColumn="1" w:lastColumn="0" w:noHBand="0" w:noVBand="1"/>
      </w:tblPr>
      <w:tblGrid>
        <w:gridCol w:w="392"/>
        <w:gridCol w:w="3320"/>
        <w:gridCol w:w="1856"/>
        <w:gridCol w:w="1856"/>
        <w:gridCol w:w="1856"/>
      </w:tblGrid>
      <w:tr w:rsidR="00605344" w:rsidRPr="00605344" w14:paraId="62F89C3B" w14:textId="77777777" w:rsidTr="00605344">
        <w:tc>
          <w:tcPr>
            <w:tcW w:w="392" w:type="dxa"/>
          </w:tcPr>
          <w:p w14:paraId="54D64E03" w14:textId="77777777" w:rsidR="00605344" w:rsidRPr="00605344" w:rsidRDefault="00605344" w:rsidP="00E53EA1">
            <w:pPr>
              <w:pStyle w:val="Highlight"/>
            </w:pPr>
          </w:p>
        </w:tc>
        <w:tc>
          <w:tcPr>
            <w:tcW w:w="3320" w:type="dxa"/>
          </w:tcPr>
          <w:p w14:paraId="3C7BA8B3" w14:textId="1C7E65F3" w:rsidR="00605344" w:rsidRPr="00605344" w:rsidRDefault="00605344" w:rsidP="00E53EA1">
            <w:pPr>
              <w:pStyle w:val="Highlight"/>
            </w:pPr>
            <w:r w:rsidRPr="00180DB9">
              <w:t>Oil Companies</w:t>
            </w:r>
          </w:p>
        </w:tc>
        <w:tc>
          <w:tcPr>
            <w:tcW w:w="1856" w:type="dxa"/>
          </w:tcPr>
          <w:p w14:paraId="6F03AC2C" w14:textId="3819E24F" w:rsidR="00605344" w:rsidRPr="00605344" w:rsidRDefault="00605344" w:rsidP="00E53EA1">
            <w:pPr>
              <w:pStyle w:val="Highlight"/>
            </w:pPr>
            <w:r w:rsidRPr="00180DB9">
              <w:t>Type of Fund</w:t>
            </w:r>
          </w:p>
        </w:tc>
        <w:tc>
          <w:tcPr>
            <w:tcW w:w="1856" w:type="dxa"/>
          </w:tcPr>
          <w:p w14:paraId="7AF10952" w14:textId="540BD208" w:rsidR="00605344" w:rsidRPr="00605344" w:rsidRDefault="00605344" w:rsidP="00E53EA1">
            <w:pPr>
              <w:pStyle w:val="Highlight"/>
            </w:pPr>
            <w:r w:rsidRPr="00180DB9">
              <w:t>Estimated Funds (US$'million)</w:t>
            </w:r>
          </w:p>
        </w:tc>
        <w:tc>
          <w:tcPr>
            <w:tcW w:w="1856" w:type="dxa"/>
          </w:tcPr>
          <w:p w14:paraId="0BFF7A04" w14:textId="648554DF" w:rsidR="00605344" w:rsidRPr="00605344" w:rsidRDefault="00605344" w:rsidP="00E53EA1">
            <w:pPr>
              <w:pStyle w:val="Highlight"/>
            </w:pPr>
            <w:r w:rsidRPr="00180DB9">
              <w:t>Estimated Funds (N'million)</w:t>
            </w:r>
          </w:p>
        </w:tc>
      </w:tr>
      <w:tr w:rsidR="00605344" w:rsidRPr="00605344" w14:paraId="45433821" w14:textId="77777777" w:rsidTr="00605344">
        <w:tc>
          <w:tcPr>
            <w:tcW w:w="392" w:type="dxa"/>
            <w:vMerge w:val="restart"/>
          </w:tcPr>
          <w:p w14:paraId="768E66C9" w14:textId="77A832A3" w:rsidR="00605344" w:rsidRPr="00605344" w:rsidRDefault="00605344" w:rsidP="00E53EA1">
            <w:pPr>
              <w:pStyle w:val="Highlight"/>
            </w:pPr>
            <w:r>
              <w:t>1</w:t>
            </w:r>
          </w:p>
        </w:tc>
        <w:tc>
          <w:tcPr>
            <w:tcW w:w="3320" w:type="dxa"/>
            <w:vMerge w:val="restart"/>
          </w:tcPr>
          <w:p w14:paraId="1F77FD82" w14:textId="77777777" w:rsidR="00605344" w:rsidRPr="00605344" w:rsidRDefault="00605344" w:rsidP="00E53EA1">
            <w:pPr>
              <w:pStyle w:val="Highlight"/>
            </w:pPr>
            <w:r w:rsidRPr="005207C7">
              <w:t>Chevron</w:t>
            </w:r>
          </w:p>
          <w:p w14:paraId="500A27AD" w14:textId="0E1A3BE2" w:rsidR="00605344" w:rsidRPr="00605344" w:rsidRDefault="00605344" w:rsidP="00E53EA1">
            <w:pPr>
              <w:pStyle w:val="Highlight"/>
            </w:pPr>
          </w:p>
        </w:tc>
        <w:tc>
          <w:tcPr>
            <w:tcW w:w="1856" w:type="dxa"/>
          </w:tcPr>
          <w:p w14:paraId="30A0FF06" w14:textId="61915F80" w:rsidR="00605344" w:rsidRPr="00605344" w:rsidRDefault="00605344" w:rsidP="00E53EA1">
            <w:pPr>
              <w:pStyle w:val="Highlight"/>
            </w:pPr>
            <w:r w:rsidRPr="00E57923">
              <w:t>GMoU</w:t>
            </w:r>
          </w:p>
        </w:tc>
        <w:tc>
          <w:tcPr>
            <w:tcW w:w="1856" w:type="dxa"/>
          </w:tcPr>
          <w:p w14:paraId="2B646797" w14:textId="2109A09F" w:rsidR="00605344" w:rsidRPr="00605344" w:rsidRDefault="00605344" w:rsidP="00E53EA1">
            <w:pPr>
              <w:pStyle w:val="Highlight"/>
            </w:pPr>
            <w:r w:rsidRPr="00E57923">
              <w:t>$83.00</w:t>
            </w:r>
          </w:p>
        </w:tc>
        <w:tc>
          <w:tcPr>
            <w:tcW w:w="1856" w:type="dxa"/>
          </w:tcPr>
          <w:p w14:paraId="45E6E099" w14:textId="0963B58D" w:rsidR="00605344" w:rsidRPr="00605344" w:rsidRDefault="00605344" w:rsidP="00E53EA1">
            <w:pPr>
              <w:pStyle w:val="Highlight"/>
            </w:pPr>
            <w:r w:rsidRPr="00E57923">
              <w:t>16,351</w:t>
            </w:r>
          </w:p>
        </w:tc>
      </w:tr>
      <w:tr w:rsidR="00605344" w:rsidRPr="00605344" w14:paraId="4199043D" w14:textId="77777777" w:rsidTr="00605344">
        <w:tc>
          <w:tcPr>
            <w:tcW w:w="392" w:type="dxa"/>
            <w:vMerge/>
          </w:tcPr>
          <w:p w14:paraId="3ECD2F11" w14:textId="77777777" w:rsidR="00605344" w:rsidRPr="00605344" w:rsidRDefault="00605344" w:rsidP="00E53EA1">
            <w:pPr>
              <w:pStyle w:val="Highlight"/>
            </w:pPr>
          </w:p>
        </w:tc>
        <w:tc>
          <w:tcPr>
            <w:tcW w:w="3320" w:type="dxa"/>
            <w:vMerge/>
          </w:tcPr>
          <w:p w14:paraId="60937A49" w14:textId="77777777" w:rsidR="00605344" w:rsidRPr="00605344" w:rsidRDefault="00605344" w:rsidP="00E53EA1">
            <w:pPr>
              <w:pStyle w:val="Highlight"/>
            </w:pPr>
          </w:p>
        </w:tc>
        <w:tc>
          <w:tcPr>
            <w:tcW w:w="1856" w:type="dxa"/>
          </w:tcPr>
          <w:p w14:paraId="14C73DEE" w14:textId="5138A821" w:rsidR="00605344" w:rsidRPr="00605344" w:rsidRDefault="00605344" w:rsidP="00E53EA1">
            <w:pPr>
              <w:pStyle w:val="Highlight"/>
            </w:pPr>
            <w:r w:rsidRPr="00E57923">
              <w:t>NDPI 1</w:t>
            </w:r>
          </w:p>
        </w:tc>
        <w:tc>
          <w:tcPr>
            <w:tcW w:w="1856" w:type="dxa"/>
          </w:tcPr>
          <w:p w14:paraId="3A9F8D28" w14:textId="0596E5E4" w:rsidR="00605344" w:rsidRPr="00605344" w:rsidRDefault="00605344" w:rsidP="00E53EA1">
            <w:pPr>
              <w:pStyle w:val="Highlight"/>
            </w:pPr>
            <w:r w:rsidRPr="00E57923">
              <w:t>$25.00</w:t>
            </w:r>
          </w:p>
        </w:tc>
        <w:tc>
          <w:tcPr>
            <w:tcW w:w="1856" w:type="dxa"/>
          </w:tcPr>
          <w:p w14:paraId="15F70C21" w14:textId="08FDFE86" w:rsidR="00605344" w:rsidRPr="00605344" w:rsidRDefault="00605344" w:rsidP="00E53EA1">
            <w:pPr>
              <w:pStyle w:val="Highlight"/>
            </w:pPr>
            <w:r w:rsidRPr="00E57923">
              <w:t>4,925</w:t>
            </w:r>
          </w:p>
        </w:tc>
      </w:tr>
      <w:tr w:rsidR="00605344" w:rsidRPr="00605344" w14:paraId="45C7A295" w14:textId="77777777" w:rsidTr="00605344">
        <w:tc>
          <w:tcPr>
            <w:tcW w:w="392" w:type="dxa"/>
            <w:vMerge/>
          </w:tcPr>
          <w:p w14:paraId="26445F1F" w14:textId="77777777" w:rsidR="00605344" w:rsidRPr="00605344" w:rsidRDefault="00605344" w:rsidP="00E53EA1">
            <w:pPr>
              <w:pStyle w:val="Highlight"/>
            </w:pPr>
          </w:p>
        </w:tc>
        <w:tc>
          <w:tcPr>
            <w:tcW w:w="3320" w:type="dxa"/>
            <w:vMerge/>
          </w:tcPr>
          <w:p w14:paraId="2801DC44" w14:textId="77777777" w:rsidR="00605344" w:rsidRPr="00605344" w:rsidRDefault="00605344" w:rsidP="00E53EA1">
            <w:pPr>
              <w:pStyle w:val="Highlight"/>
            </w:pPr>
          </w:p>
        </w:tc>
        <w:tc>
          <w:tcPr>
            <w:tcW w:w="1856" w:type="dxa"/>
          </w:tcPr>
          <w:p w14:paraId="6A6BD26D" w14:textId="131A11FB" w:rsidR="00605344" w:rsidRPr="00605344" w:rsidRDefault="00605344" w:rsidP="00E53EA1">
            <w:pPr>
              <w:pStyle w:val="Highlight"/>
            </w:pPr>
            <w:r w:rsidRPr="00E57923">
              <w:t>NDPI 2</w:t>
            </w:r>
          </w:p>
        </w:tc>
        <w:tc>
          <w:tcPr>
            <w:tcW w:w="1856" w:type="dxa"/>
          </w:tcPr>
          <w:p w14:paraId="45748281" w14:textId="6A307F9B" w:rsidR="00605344" w:rsidRPr="00605344" w:rsidRDefault="00605344" w:rsidP="00E53EA1">
            <w:pPr>
              <w:pStyle w:val="Highlight"/>
            </w:pPr>
            <w:r w:rsidRPr="00E57923">
              <w:t>$40.00</w:t>
            </w:r>
          </w:p>
        </w:tc>
        <w:tc>
          <w:tcPr>
            <w:tcW w:w="1856" w:type="dxa"/>
          </w:tcPr>
          <w:p w14:paraId="21BF5FB7" w14:textId="619C4AB4" w:rsidR="00605344" w:rsidRPr="00605344" w:rsidRDefault="00605344" w:rsidP="00E53EA1">
            <w:pPr>
              <w:pStyle w:val="Highlight"/>
            </w:pPr>
            <w:r w:rsidRPr="00E57923">
              <w:t>7,880</w:t>
            </w:r>
          </w:p>
        </w:tc>
      </w:tr>
      <w:tr w:rsidR="00605344" w:rsidRPr="00605344" w14:paraId="2E9A4167" w14:textId="77777777" w:rsidTr="00605344">
        <w:tc>
          <w:tcPr>
            <w:tcW w:w="392" w:type="dxa"/>
            <w:vMerge w:val="restart"/>
          </w:tcPr>
          <w:p w14:paraId="16B50353" w14:textId="0AAB89A2" w:rsidR="00605344" w:rsidRPr="00605344" w:rsidRDefault="00605344" w:rsidP="00E53EA1">
            <w:pPr>
              <w:pStyle w:val="Highlight"/>
            </w:pPr>
            <w:r>
              <w:t>2</w:t>
            </w:r>
          </w:p>
        </w:tc>
        <w:tc>
          <w:tcPr>
            <w:tcW w:w="3320" w:type="dxa"/>
            <w:vMerge w:val="restart"/>
          </w:tcPr>
          <w:p w14:paraId="16BC062E" w14:textId="77777777" w:rsidR="00605344" w:rsidRPr="00605344" w:rsidRDefault="00605344" w:rsidP="00E53EA1">
            <w:pPr>
              <w:pStyle w:val="Highlight"/>
            </w:pPr>
            <w:r w:rsidRPr="005207C7">
              <w:t>Shell</w:t>
            </w:r>
          </w:p>
          <w:p w14:paraId="394D4EC9" w14:textId="4C9F4F8F" w:rsidR="00605344" w:rsidRPr="00605344" w:rsidRDefault="00605344" w:rsidP="00E53EA1">
            <w:pPr>
              <w:pStyle w:val="Highlight"/>
            </w:pPr>
          </w:p>
        </w:tc>
        <w:tc>
          <w:tcPr>
            <w:tcW w:w="1856" w:type="dxa"/>
          </w:tcPr>
          <w:p w14:paraId="65D4415F" w14:textId="43EABCB9" w:rsidR="00605344" w:rsidRPr="00605344" w:rsidRDefault="00605344" w:rsidP="00E53EA1">
            <w:pPr>
              <w:pStyle w:val="Highlight"/>
            </w:pPr>
            <w:r w:rsidRPr="00E57923">
              <w:t>GMoU</w:t>
            </w:r>
          </w:p>
        </w:tc>
        <w:tc>
          <w:tcPr>
            <w:tcW w:w="1856" w:type="dxa"/>
          </w:tcPr>
          <w:p w14:paraId="1ADCB6E0" w14:textId="1F56DD2D" w:rsidR="00605344" w:rsidRPr="00605344" w:rsidRDefault="00605344" w:rsidP="00E53EA1">
            <w:pPr>
              <w:pStyle w:val="Highlight"/>
            </w:pPr>
            <w:r w:rsidRPr="00E57923">
              <w:t>$117.00</w:t>
            </w:r>
          </w:p>
        </w:tc>
        <w:tc>
          <w:tcPr>
            <w:tcW w:w="1856" w:type="dxa"/>
          </w:tcPr>
          <w:p w14:paraId="20606F4B" w14:textId="626FC443" w:rsidR="00605344" w:rsidRPr="00605344" w:rsidRDefault="00605344" w:rsidP="00E53EA1">
            <w:pPr>
              <w:pStyle w:val="Highlight"/>
            </w:pPr>
            <w:r w:rsidRPr="00E57923">
              <w:t>23,049</w:t>
            </w:r>
          </w:p>
        </w:tc>
      </w:tr>
      <w:tr w:rsidR="00605344" w:rsidRPr="00605344" w14:paraId="4A1C50EE" w14:textId="77777777" w:rsidTr="00605344">
        <w:tc>
          <w:tcPr>
            <w:tcW w:w="392" w:type="dxa"/>
            <w:vMerge/>
          </w:tcPr>
          <w:p w14:paraId="6ECBC5E3" w14:textId="77777777" w:rsidR="00605344" w:rsidRPr="00605344" w:rsidRDefault="00605344" w:rsidP="00E53EA1">
            <w:pPr>
              <w:pStyle w:val="Highlight"/>
            </w:pPr>
          </w:p>
        </w:tc>
        <w:tc>
          <w:tcPr>
            <w:tcW w:w="3320" w:type="dxa"/>
            <w:vMerge/>
          </w:tcPr>
          <w:p w14:paraId="1A737B85" w14:textId="77777777" w:rsidR="00605344" w:rsidRPr="00605344" w:rsidRDefault="00605344" w:rsidP="00E53EA1">
            <w:pPr>
              <w:pStyle w:val="Highlight"/>
            </w:pPr>
          </w:p>
        </w:tc>
        <w:tc>
          <w:tcPr>
            <w:tcW w:w="1856" w:type="dxa"/>
          </w:tcPr>
          <w:p w14:paraId="5B566014" w14:textId="74C93207" w:rsidR="00605344" w:rsidRPr="00605344" w:rsidRDefault="00605344" w:rsidP="00E53EA1">
            <w:pPr>
              <w:pStyle w:val="Highlight"/>
            </w:pPr>
            <w:r w:rsidRPr="00E57923">
              <w:t>CSR</w:t>
            </w:r>
          </w:p>
        </w:tc>
        <w:tc>
          <w:tcPr>
            <w:tcW w:w="1856" w:type="dxa"/>
          </w:tcPr>
          <w:p w14:paraId="1BB0B30A" w14:textId="659121C3" w:rsidR="00605344" w:rsidRPr="00605344" w:rsidRDefault="00605344" w:rsidP="00E53EA1">
            <w:pPr>
              <w:pStyle w:val="Highlight"/>
            </w:pPr>
            <w:r w:rsidRPr="00E57923">
              <w:t>$31.40</w:t>
            </w:r>
          </w:p>
        </w:tc>
        <w:tc>
          <w:tcPr>
            <w:tcW w:w="1856" w:type="dxa"/>
          </w:tcPr>
          <w:p w14:paraId="64D13CF4" w14:textId="0BC93359" w:rsidR="00605344" w:rsidRPr="00605344" w:rsidRDefault="00605344" w:rsidP="00E53EA1">
            <w:pPr>
              <w:pStyle w:val="Highlight"/>
            </w:pPr>
            <w:r w:rsidRPr="00E57923">
              <w:t>6,186</w:t>
            </w:r>
          </w:p>
        </w:tc>
      </w:tr>
      <w:tr w:rsidR="00605344" w:rsidRPr="00605344" w14:paraId="56C44C6B" w14:textId="77777777" w:rsidTr="00605344">
        <w:tc>
          <w:tcPr>
            <w:tcW w:w="392" w:type="dxa"/>
          </w:tcPr>
          <w:p w14:paraId="414A4797" w14:textId="71CBCD69" w:rsidR="00605344" w:rsidRPr="00605344" w:rsidRDefault="00605344" w:rsidP="00E53EA1">
            <w:pPr>
              <w:pStyle w:val="Highlight"/>
            </w:pPr>
            <w:r>
              <w:t>3</w:t>
            </w:r>
          </w:p>
        </w:tc>
        <w:tc>
          <w:tcPr>
            <w:tcW w:w="3320" w:type="dxa"/>
          </w:tcPr>
          <w:p w14:paraId="59A93C07" w14:textId="4645D566" w:rsidR="00605344" w:rsidRPr="00605344" w:rsidRDefault="00605344" w:rsidP="00E53EA1">
            <w:pPr>
              <w:pStyle w:val="Highlight"/>
            </w:pPr>
            <w:r w:rsidRPr="005207C7">
              <w:t>Seplat</w:t>
            </w:r>
          </w:p>
        </w:tc>
        <w:tc>
          <w:tcPr>
            <w:tcW w:w="1856" w:type="dxa"/>
          </w:tcPr>
          <w:p w14:paraId="4C70C005" w14:textId="40C39A53" w:rsidR="00605344" w:rsidRPr="00605344" w:rsidRDefault="00605344" w:rsidP="00E53EA1">
            <w:pPr>
              <w:pStyle w:val="Highlight"/>
            </w:pPr>
            <w:r w:rsidRPr="00E57923">
              <w:t>GMoU</w:t>
            </w:r>
          </w:p>
        </w:tc>
        <w:tc>
          <w:tcPr>
            <w:tcW w:w="1856" w:type="dxa"/>
          </w:tcPr>
          <w:p w14:paraId="1C8353BD" w14:textId="2B043673" w:rsidR="00605344" w:rsidRPr="00605344" w:rsidRDefault="00605344" w:rsidP="00E53EA1">
            <w:pPr>
              <w:pStyle w:val="Highlight"/>
            </w:pPr>
            <w:r w:rsidRPr="00E57923">
              <w:t>$33.30</w:t>
            </w:r>
          </w:p>
        </w:tc>
        <w:tc>
          <w:tcPr>
            <w:tcW w:w="1856" w:type="dxa"/>
          </w:tcPr>
          <w:p w14:paraId="75303DEB" w14:textId="5BA99A84" w:rsidR="00605344" w:rsidRPr="00605344" w:rsidRDefault="00605344" w:rsidP="00E53EA1">
            <w:pPr>
              <w:pStyle w:val="Highlight"/>
            </w:pPr>
            <w:r w:rsidRPr="00E57923">
              <w:t>6,560</w:t>
            </w:r>
          </w:p>
        </w:tc>
      </w:tr>
      <w:tr w:rsidR="00605344" w:rsidRPr="00605344" w14:paraId="1AE3D4AC" w14:textId="77777777" w:rsidTr="00605344">
        <w:tc>
          <w:tcPr>
            <w:tcW w:w="392" w:type="dxa"/>
          </w:tcPr>
          <w:p w14:paraId="4154660C" w14:textId="329432E0" w:rsidR="00605344" w:rsidRPr="00605344" w:rsidRDefault="00605344" w:rsidP="00E53EA1">
            <w:pPr>
              <w:pStyle w:val="Highlight"/>
            </w:pPr>
            <w:r>
              <w:t>4</w:t>
            </w:r>
          </w:p>
        </w:tc>
        <w:tc>
          <w:tcPr>
            <w:tcW w:w="3320" w:type="dxa"/>
          </w:tcPr>
          <w:p w14:paraId="5DDBB000" w14:textId="001876DC" w:rsidR="00605344" w:rsidRPr="00605344" w:rsidRDefault="00605344" w:rsidP="00E53EA1">
            <w:pPr>
              <w:pStyle w:val="Highlight"/>
            </w:pPr>
            <w:r w:rsidRPr="005207C7">
              <w:t>Nigerian Agip Oil Company (NAOC), Addax Petroleum, Oando Group, Chevron, ExxonMobil, Shell, Total, Pan-Ocean, Nigerian Petroleum Development Company (NPDC), Niger Delta Petroleum Resources Limited (NDPRL), Nigerian Liquefied Natural Gas (NLNG) and Schlumberger</w:t>
            </w:r>
          </w:p>
        </w:tc>
        <w:tc>
          <w:tcPr>
            <w:tcW w:w="1856" w:type="dxa"/>
          </w:tcPr>
          <w:p w14:paraId="4FFBE171" w14:textId="14999166" w:rsidR="00605344" w:rsidRPr="00605344" w:rsidRDefault="00605344" w:rsidP="00E53EA1">
            <w:pPr>
              <w:pStyle w:val="Highlight"/>
            </w:pPr>
            <w:r w:rsidRPr="00E57923">
              <w:t>Oil and Gas Industry Foundation (OGIF)</w:t>
            </w:r>
          </w:p>
        </w:tc>
        <w:tc>
          <w:tcPr>
            <w:tcW w:w="1856" w:type="dxa"/>
          </w:tcPr>
          <w:p w14:paraId="0D04860B" w14:textId="626BA88E" w:rsidR="00605344" w:rsidRPr="00605344" w:rsidRDefault="00605344" w:rsidP="00E53EA1">
            <w:pPr>
              <w:pStyle w:val="Highlight"/>
            </w:pPr>
            <w:r w:rsidRPr="00E57923">
              <w:t>$30.30</w:t>
            </w:r>
          </w:p>
        </w:tc>
        <w:tc>
          <w:tcPr>
            <w:tcW w:w="1856" w:type="dxa"/>
          </w:tcPr>
          <w:p w14:paraId="01970D3F" w14:textId="572E39C2" w:rsidR="00605344" w:rsidRPr="00605344" w:rsidRDefault="00605344" w:rsidP="00E53EA1">
            <w:pPr>
              <w:pStyle w:val="Highlight"/>
            </w:pPr>
            <w:r w:rsidRPr="00E57923">
              <w:t>5,969</w:t>
            </w:r>
          </w:p>
        </w:tc>
      </w:tr>
      <w:tr w:rsidR="00605344" w:rsidRPr="00605344" w14:paraId="6FEF6906" w14:textId="77777777" w:rsidTr="00605344">
        <w:tc>
          <w:tcPr>
            <w:tcW w:w="392" w:type="dxa"/>
          </w:tcPr>
          <w:p w14:paraId="1387ED0A" w14:textId="77777777" w:rsidR="00605344" w:rsidRPr="00605344" w:rsidRDefault="00605344" w:rsidP="00E53EA1">
            <w:pPr>
              <w:pStyle w:val="Highlight"/>
            </w:pPr>
          </w:p>
        </w:tc>
        <w:tc>
          <w:tcPr>
            <w:tcW w:w="3320" w:type="dxa"/>
          </w:tcPr>
          <w:p w14:paraId="609D58FF" w14:textId="4594905E" w:rsidR="00605344" w:rsidRPr="00605344" w:rsidRDefault="00605344" w:rsidP="00E53EA1">
            <w:pPr>
              <w:pStyle w:val="Highlight"/>
            </w:pPr>
            <w:r w:rsidRPr="005207C7">
              <w:t>Total</w:t>
            </w:r>
          </w:p>
        </w:tc>
        <w:tc>
          <w:tcPr>
            <w:tcW w:w="1856" w:type="dxa"/>
          </w:tcPr>
          <w:p w14:paraId="0F6C099A" w14:textId="77777777" w:rsidR="00605344" w:rsidRPr="00605344" w:rsidRDefault="00605344" w:rsidP="00E53EA1">
            <w:pPr>
              <w:pStyle w:val="Highlight"/>
            </w:pPr>
          </w:p>
        </w:tc>
        <w:tc>
          <w:tcPr>
            <w:tcW w:w="1856" w:type="dxa"/>
          </w:tcPr>
          <w:p w14:paraId="3EB9200D" w14:textId="236AB014" w:rsidR="00605344" w:rsidRPr="00605344" w:rsidRDefault="00605344" w:rsidP="00E53EA1">
            <w:pPr>
              <w:pStyle w:val="Highlight"/>
            </w:pPr>
            <w:r w:rsidRPr="00E57923">
              <w:t>$360.00</w:t>
            </w:r>
          </w:p>
        </w:tc>
        <w:tc>
          <w:tcPr>
            <w:tcW w:w="1856" w:type="dxa"/>
          </w:tcPr>
          <w:p w14:paraId="5F0F7B05" w14:textId="4EF1B89F" w:rsidR="00605344" w:rsidRPr="00605344" w:rsidRDefault="00605344" w:rsidP="00E53EA1">
            <w:pPr>
              <w:pStyle w:val="Highlight"/>
            </w:pPr>
            <w:r w:rsidRPr="00E57923">
              <w:t>N70,920</w:t>
            </w:r>
          </w:p>
        </w:tc>
      </w:tr>
    </w:tbl>
    <w:p w14:paraId="00D8AD05" w14:textId="77777777" w:rsidR="009E259A" w:rsidRPr="00605344" w:rsidRDefault="009E259A" w:rsidP="00E53EA1">
      <w:pPr>
        <w:pStyle w:val="Highlight"/>
      </w:pPr>
      <w:r w:rsidRPr="00605344">
        <w:t xml:space="preserve">Source: </w:t>
      </w:r>
    </w:p>
    <w:p w14:paraId="13724C4C" w14:textId="77777777" w:rsidR="009E259A" w:rsidRPr="00605344" w:rsidRDefault="00185A4C" w:rsidP="00E53EA1">
      <w:pPr>
        <w:pStyle w:val="Highlight"/>
        <w:numPr>
          <w:ilvl w:val="0"/>
          <w:numId w:val="18"/>
        </w:numPr>
      </w:pPr>
      <w:hyperlink r:id="rId17" w:history="1">
        <w:r w:rsidR="009E259A" w:rsidRPr="00605344">
          <w:rPr>
            <w:rStyle w:val="Hyperlink"/>
          </w:rPr>
          <w:t>http://www.chevron.com/countries/nigeria/inthecommunity/</w:t>
        </w:r>
      </w:hyperlink>
    </w:p>
    <w:p w14:paraId="22E5AAEC" w14:textId="77777777" w:rsidR="009E259A" w:rsidRPr="00605344" w:rsidRDefault="00185A4C" w:rsidP="00E53EA1">
      <w:pPr>
        <w:pStyle w:val="Highlight"/>
        <w:numPr>
          <w:ilvl w:val="0"/>
          <w:numId w:val="18"/>
        </w:numPr>
      </w:pPr>
      <w:hyperlink r:id="rId18" w:history="1">
        <w:r w:rsidR="009E259A" w:rsidRPr="00605344">
          <w:rPr>
            <w:rStyle w:val="Hyperlink"/>
          </w:rPr>
          <w:t>http://s06.static-shell.com/content/dam/shell-new/local/country/nga/downloads/pdf/2013bnotes/improving-lives1.pdf</w:t>
        </w:r>
      </w:hyperlink>
    </w:p>
    <w:p w14:paraId="5FDADE43" w14:textId="77777777" w:rsidR="009E259A" w:rsidRPr="00605344" w:rsidRDefault="00185A4C" w:rsidP="00E53EA1">
      <w:pPr>
        <w:pStyle w:val="Highlight"/>
        <w:numPr>
          <w:ilvl w:val="0"/>
          <w:numId w:val="18"/>
        </w:numPr>
      </w:pPr>
      <w:hyperlink r:id="rId19" w:history="1">
        <w:r w:rsidR="009E259A" w:rsidRPr="00605344">
          <w:rPr>
            <w:rStyle w:val="Hyperlink"/>
          </w:rPr>
          <w:t>http://seplatpetroleum.com/wp-content/uploads/2015/05/Seplat_webPDF_2014.pdf</w:t>
        </w:r>
      </w:hyperlink>
    </w:p>
    <w:p w14:paraId="6A8D8D36" w14:textId="77777777" w:rsidR="009E259A" w:rsidRPr="00605344" w:rsidRDefault="00185A4C" w:rsidP="00E53EA1">
      <w:pPr>
        <w:pStyle w:val="Highlight"/>
        <w:numPr>
          <w:ilvl w:val="0"/>
          <w:numId w:val="18"/>
        </w:numPr>
      </w:pPr>
      <w:hyperlink r:id="rId20" w:history="1">
        <w:r w:rsidR="009E259A" w:rsidRPr="00605344">
          <w:rPr>
            <w:rStyle w:val="Hyperlink"/>
          </w:rPr>
          <w:t>http://opts-ng.com/corporate_social.php</w:t>
        </w:r>
      </w:hyperlink>
    </w:p>
    <w:p w14:paraId="536F431B" w14:textId="77777777" w:rsidR="009E259A" w:rsidRPr="00225669" w:rsidRDefault="009E259A" w:rsidP="00E53EA1">
      <w:pPr>
        <w:pStyle w:val="Highlight"/>
      </w:pPr>
    </w:p>
    <w:p w14:paraId="6E6E51A0" w14:textId="77777777" w:rsidR="009E259A" w:rsidRPr="00225669" w:rsidRDefault="009E259A" w:rsidP="00E53EA1">
      <w:pPr>
        <w:pStyle w:val="Highlight"/>
      </w:pPr>
      <w:r w:rsidRPr="00225669">
        <w:t>Note:</w:t>
      </w:r>
    </w:p>
    <w:p w14:paraId="193E59C5" w14:textId="77777777" w:rsidR="009E259A" w:rsidRPr="00225669" w:rsidRDefault="009E259A" w:rsidP="00E53EA1">
      <w:pPr>
        <w:pStyle w:val="Highlight"/>
        <w:numPr>
          <w:ilvl w:val="0"/>
          <w:numId w:val="19"/>
        </w:numPr>
      </w:pPr>
      <w:r w:rsidRPr="00225669">
        <w:t>CSR- Corporate Social Responsibility</w:t>
      </w:r>
    </w:p>
    <w:p w14:paraId="08068AC0" w14:textId="77777777" w:rsidR="009E259A" w:rsidRPr="00225669" w:rsidRDefault="009E259A" w:rsidP="00E53EA1">
      <w:pPr>
        <w:pStyle w:val="Highlight"/>
        <w:numPr>
          <w:ilvl w:val="0"/>
          <w:numId w:val="19"/>
        </w:numPr>
      </w:pPr>
      <w:r w:rsidRPr="00225669">
        <w:t xml:space="preserve">NDPI- Niger Delta Partnership Initiative </w:t>
      </w:r>
    </w:p>
    <w:p w14:paraId="7E05935B" w14:textId="77777777" w:rsidR="009E259A" w:rsidRPr="00225669" w:rsidRDefault="009E259A" w:rsidP="00E53EA1">
      <w:pPr>
        <w:pStyle w:val="Highlight"/>
        <w:numPr>
          <w:ilvl w:val="0"/>
          <w:numId w:val="19"/>
        </w:numPr>
      </w:pPr>
      <w:r w:rsidRPr="00225669">
        <w:t xml:space="preserve">Conversion was done using CBN exchange rates. Available at: </w:t>
      </w:r>
      <w:hyperlink r:id="rId21" w:history="1">
        <w:r w:rsidRPr="00225669">
          <w:rPr>
            <w:rStyle w:val="Hyperlink"/>
          </w:rPr>
          <w:t>http://www.cenbank.org/rates/ExchRateByCurrency.asp</w:t>
        </w:r>
      </w:hyperlink>
    </w:p>
    <w:p w14:paraId="36F2FF52" w14:textId="77777777" w:rsidR="009E259A" w:rsidRPr="00225669" w:rsidRDefault="009E259A" w:rsidP="00E53EA1">
      <w:pPr>
        <w:pStyle w:val="Highlight"/>
        <w:numPr>
          <w:ilvl w:val="0"/>
          <w:numId w:val="19"/>
        </w:numPr>
      </w:pPr>
      <w:r w:rsidRPr="00225669">
        <w:t>No specific period was stated for each of the contributions</w:t>
      </w:r>
    </w:p>
    <w:p w14:paraId="6D93B8A3" w14:textId="77777777" w:rsidR="00AA70B0" w:rsidRDefault="00AA70B0" w:rsidP="00E53EA1">
      <w:pPr>
        <w:pStyle w:val="Highlight"/>
      </w:pPr>
    </w:p>
    <w:p w14:paraId="571F2D70" w14:textId="77777777" w:rsidR="00AA70B0" w:rsidRDefault="00AA70B0" w:rsidP="00E53EA1">
      <w:pPr>
        <w:pStyle w:val="Highlight"/>
      </w:pPr>
    </w:p>
    <w:p w14:paraId="7C128E4F" w14:textId="77777777" w:rsidR="009E259A" w:rsidRDefault="009E259A" w:rsidP="00EB2031">
      <w:pPr>
        <w:pStyle w:val="TableList"/>
      </w:pPr>
      <w:bookmarkStart w:id="56" w:name="_Toc311707945"/>
      <w:r w:rsidRPr="00225669">
        <w:t>Development Agencies</w:t>
      </w:r>
      <w:bookmarkEnd w:id="56"/>
    </w:p>
    <w:p w14:paraId="7AE9222D" w14:textId="77777777" w:rsidR="00AA70B0" w:rsidRDefault="00AA70B0" w:rsidP="00E53EA1">
      <w:pPr>
        <w:pStyle w:val="Highlight"/>
      </w:pPr>
    </w:p>
    <w:tbl>
      <w:tblPr>
        <w:tblStyle w:val="TableGrid"/>
        <w:tblW w:w="0" w:type="auto"/>
        <w:tblLook w:val="04A0" w:firstRow="1" w:lastRow="0" w:firstColumn="1" w:lastColumn="0" w:noHBand="0" w:noVBand="1"/>
      </w:tblPr>
      <w:tblGrid>
        <w:gridCol w:w="390"/>
        <w:gridCol w:w="1631"/>
        <w:gridCol w:w="3341"/>
        <w:gridCol w:w="1284"/>
        <w:gridCol w:w="1413"/>
        <w:gridCol w:w="1221"/>
      </w:tblGrid>
      <w:tr w:rsidR="00AA70B0" w:rsidRPr="00AA70B0" w14:paraId="6C8BCF02" w14:textId="77777777" w:rsidTr="00AA70B0">
        <w:tc>
          <w:tcPr>
            <w:tcW w:w="392" w:type="dxa"/>
          </w:tcPr>
          <w:p w14:paraId="74486570" w14:textId="77777777" w:rsidR="00AA70B0" w:rsidRPr="00AA70B0" w:rsidRDefault="00AA70B0" w:rsidP="00E53EA1">
            <w:pPr>
              <w:pStyle w:val="Highlight"/>
            </w:pPr>
          </w:p>
        </w:tc>
        <w:tc>
          <w:tcPr>
            <w:tcW w:w="1559" w:type="dxa"/>
          </w:tcPr>
          <w:p w14:paraId="1868618A" w14:textId="0A1CA97F" w:rsidR="00AA70B0" w:rsidRPr="00AA70B0" w:rsidRDefault="00AA70B0" w:rsidP="00E53EA1">
            <w:pPr>
              <w:pStyle w:val="Highlight"/>
            </w:pPr>
            <w:r w:rsidRPr="003F598E">
              <w:t>Development Agencies</w:t>
            </w:r>
          </w:p>
        </w:tc>
        <w:tc>
          <w:tcPr>
            <w:tcW w:w="3402" w:type="dxa"/>
          </w:tcPr>
          <w:p w14:paraId="7772BBAD" w14:textId="089F1C45" w:rsidR="00AA70B0" w:rsidRPr="00AA70B0" w:rsidRDefault="00AA70B0" w:rsidP="00E53EA1">
            <w:pPr>
              <w:pStyle w:val="Highlight"/>
            </w:pPr>
            <w:r w:rsidRPr="003F598E">
              <w:t>Projects</w:t>
            </w:r>
          </w:p>
        </w:tc>
        <w:tc>
          <w:tcPr>
            <w:tcW w:w="1276" w:type="dxa"/>
          </w:tcPr>
          <w:p w14:paraId="0796E62B" w14:textId="5B0C4035" w:rsidR="00AA70B0" w:rsidRPr="00AA70B0" w:rsidRDefault="00AA70B0" w:rsidP="00E53EA1">
            <w:pPr>
              <w:pStyle w:val="Highlight"/>
            </w:pPr>
            <w:r w:rsidRPr="003F598E">
              <w:t>Estimated Funds ($' millions)</w:t>
            </w:r>
          </w:p>
        </w:tc>
        <w:tc>
          <w:tcPr>
            <w:tcW w:w="1417" w:type="dxa"/>
          </w:tcPr>
          <w:p w14:paraId="4308BF16" w14:textId="309295AF" w:rsidR="00AA70B0" w:rsidRPr="00AA70B0" w:rsidRDefault="00AA70B0" w:rsidP="00E53EA1">
            <w:pPr>
              <w:pStyle w:val="Highlight"/>
            </w:pPr>
            <w:r w:rsidRPr="003F598E">
              <w:t>Estimated Funds (</w:t>
            </w:r>
            <w:r w:rsidR="00A71550" w:rsidRPr="003F598E">
              <w:t>N’million</w:t>
            </w:r>
            <w:r w:rsidRPr="003F598E">
              <w:t>)</w:t>
            </w:r>
          </w:p>
        </w:tc>
        <w:tc>
          <w:tcPr>
            <w:tcW w:w="1234" w:type="dxa"/>
          </w:tcPr>
          <w:p w14:paraId="41978310" w14:textId="50E05AE8" w:rsidR="00AA70B0" w:rsidRPr="00AA70B0" w:rsidRDefault="00AA70B0" w:rsidP="00E53EA1">
            <w:pPr>
              <w:pStyle w:val="Highlight"/>
            </w:pPr>
            <w:r w:rsidRPr="003F598E">
              <w:t>Year</w:t>
            </w:r>
          </w:p>
        </w:tc>
      </w:tr>
      <w:tr w:rsidR="00AA70B0" w:rsidRPr="00AA70B0" w14:paraId="12E76BF4" w14:textId="77777777" w:rsidTr="00AA70B0">
        <w:tc>
          <w:tcPr>
            <w:tcW w:w="392" w:type="dxa"/>
          </w:tcPr>
          <w:p w14:paraId="4A916388" w14:textId="6E4D2ECB" w:rsidR="00AA70B0" w:rsidRPr="00AA70B0" w:rsidRDefault="00AA70B0" w:rsidP="00E53EA1">
            <w:pPr>
              <w:pStyle w:val="Highlight"/>
            </w:pPr>
            <w:r w:rsidRPr="003D7B1D">
              <w:t>1</w:t>
            </w:r>
          </w:p>
        </w:tc>
        <w:tc>
          <w:tcPr>
            <w:tcW w:w="1559" w:type="dxa"/>
          </w:tcPr>
          <w:p w14:paraId="46A43026" w14:textId="22090601" w:rsidR="00AA70B0" w:rsidRPr="00AA70B0" w:rsidRDefault="00AA70B0" w:rsidP="00E53EA1">
            <w:pPr>
              <w:pStyle w:val="Highlight"/>
            </w:pPr>
            <w:r w:rsidRPr="003D7B1D">
              <w:t>DFID</w:t>
            </w:r>
          </w:p>
        </w:tc>
        <w:tc>
          <w:tcPr>
            <w:tcW w:w="3402" w:type="dxa"/>
          </w:tcPr>
          <w:p w14:paraId="23D7F02F" w14:textId="77777777" w:rsidR="00AA70B0" w:rsidRPr="00AA70B0" w:rsidRDefault="00AA70B0" w:rsidP="00E53EA1">
            <w:pPr>
              <w:pStyle w:val="Highlight"/>
            </w:pPr>
          </w:p>
        </w:tc>
        <w:tc>
          <w:tcPr>
            <w:tcW w:w="1276" w:type="dxa"/>
          </w:tcPr>
          <w:p w14:paraId="2E25EE67" w14:textId="4A0C4E79" w:rsidR="00AA70B0" w:rsidRPr="00AA70B0" w:rsidRDefault="00AA70B0" w:rsidP="00E53EA1">
            <w:pPr>
              <w:pStyle w:val="Highlight"/>
            </w:pPr>
            <w:r w:rsidRPr="003D7B1D">
              <w:t>$6.12</w:t>
            </w:r>
          </w:p>
        </w:tc>
        <w:tc>
          <w:tcPr>
            <w:tcW w:w="1417" w:type="dxa"/>
          </w:tcPr>
          <w:p w14:paraId="0037A928" w14:textId="33CB1231" w:rsidR="00AA70B0" w:rsidRPr="00AA70B0" w:rsidRDefault="00AA70B0" w:rsidP="00E53EA1">
            <w:pPr>
              <w:pStyle w:val="Highlight"/>
            </w:pPr>
            <w:r w:rsidRPr="003D7B1D">
              <w:t>1,205.64</w:t>
            </w:r>
          </w:p>
        </w:tc>
        <w:tc>
          <w:tcPr>
            <w:tcW w:w="1234" w:type="dxa"/>
          </w:tcPr>
          <w:p w14:paraId="72611ECC" w14:textId="1085B580" w:rsidR="00AA70B0" w:rsidRPr="00AA70B0" w:rsidRDefault="00AA70B0" w:rsidP="00E53EA1">
            <w:pPr>
              <w:pStyle w:val="Highlight"/>
            </w:pPr>
            <w:r w:rsidRPr="003D7B1D">
              <w:t>2014-2018</w:t>
            </w:r>
          </w:p>
        </w:tc>
      </w:tr>
      <w:tr w:rsidR="00AA70B0" w:rsidRPr="00AA70B0" w14:paraId="3B836550" w14:textId="77777777" w:rsidTr="00AA70B0">
        <w:tc>
          <w:tcPr>
            <w:tcW w:w="392" w:type="dxa"/>
          </w:tcPr>
          <w:p w14:paraId="53252A75" w14:textId="74909EDA" w:rsidR="00AA70B0" w:rsidRPr="00AA70B0" w:rsidRDefault="00AA70B0" w:rsidP="00E53EA1">
            <w:pPr>
              <w:pStyle w:val="Highlight"/>
            </w:pPr>
            <w:r w:rsidRPr="003D7B1D">
              <w:t>2</w:t>
            </w:r>
          </w:p>
        </w:tc>
        <w:tc>
          <w:tcPr>
            <w:tcW w:w="1559" w:type="dxa"/>
          </w:tcPr>
          <w:p w14:paraId="53DABAE5" w14:textId="6B2B099A" w:rsidR="00AA70B0" w:rsidRPr="00AA70B0" w:rsidRDefault="00AA70B0" w:rsidP="00E53EA1">
            <w:pPr>
              <w:pStyle w:val="Highlight"/>
            </w:pPr>
            <w:r w:rsidRPr="003D7B1D">
              <w:t>USAID</w:t>
            </w:r>
          </w:p>
        </w:tc>
        <w:tc>
          <w:tcPr>
            <w:tcW w:w="3402" w:type="dxa"/>
          </w:tcPr>
          <w:p w14:paraId="0940CEB8" w14:textId="6D1C5540" w:rsidR="00AA70B0" w:rsidRPr="00AA70B0" w:rsidRDefault="00AA70B0" w:rsidP="00E53EA1">
            <w:pPr>
              <w:pStyle w:val="Highlight"/>
            </w:pPr>
            <w:r w:rsidRPr="003D7B1D">
              <w:t>(NDPI 1)</w:t>
            </w:r>
          </w:p>
        </w:tc>
        <w:tc>
          <w:tcPr>
            <w:tcW w:w="1276" w:type="dxa"/>
          </w:tcPr>
          <w:p w14:paraId="16470F0F" w14:textId="72FF5F46" w:rsidR="00AA70B0" w:rsidRPr="00AA70B0" w:rsidRDefault="00AA70B0" w:rsidP="00E53EA1">
            <w:pPr>
              <w:pStyle w:val="Highlight"/>
            </w:pPr>
            <w:r w:rsidRPr="003D7B1D">
              <w:t>$25.00</w:t>
            </w:r>
          </w:p>
        </w:tc>
        <w:tc>
          <w:tcPr>
            <w:tcW w:w="1417" w:type="dxa"/>
          </w:tcPr>
          <w:p w14:paraId="3F197E5A" w14:textId="49F6F757" w:rsidR="00AA70B0" w:rsidRPr="00AA70B0" w:rsidRDefault="00AA70B0" w:rsidP="00E53EA1">
            <w:pPr>
              <w:pStyle w:val="Highlight"/>
            </w:pPr>
            <w:r w:rsidRPr="003D7B1D">
              <w:t>4,925.00</w:t>
            </w:r>
          </w:p>
        </w:tc>
        <w:tc>
          <w:tcPr>
            <w:tcW w:w="1234" w:type="dxa"/>
          </w:tcPr>
          <w:p w14:paraId="50111C9C" w14:textId="227BA8A3" w:rsidR="00AA70B0" w:rsidRPr="00AA70B0" w:rsidRDefault="00AA70B0" w:rsidP="00E53EA1">
            <w:pPr>
              <w:pStyle w:val="Highlight"/>
            </w:pPr>
            <w:r w:rsidRPr="003D7B1D">
              <w:t>2011-2015</w:t>
            </w:r>
          </w:p>
        </w:tc>
      </w:tr>
      <w:tr w:rsidR="00AA70B0" w:rsidRPr="00AA70B0" w14:paraId="53DF3462" w14:textId="77777777" w:rsidTr="00AA70B0">
        <w:tc>
          <w:tcPr>
            <w:tcW w:w="392" w:type="dxa"/>
          </w:tcPr>
          <w:p w14:paraId="3AD28355" w14:textId="7D013B7F" w:rsidR="00AA70B0" w:rsidRPr="00AA70B0" w:rsidRDefault="00AA70B0" w:rsidP="00E53EA1">
            <w:pPr>
              <w:pStyle w:val="Highlight"/>
            </w:pPr>
            <w:r w:rsidRPr="003D7B1D">
              <w:t>3</w:t>
            </w:r>
          </w:p>
        </w:tc>
        <w:tc>
          <w:tcPr>
            <w:tcW w:w="1559" w:type="dxa"/>
          </w:tcPr>
          <w:p w14:paraId="3905227B" w14:textId="33545F83" w:rsidR="00AA70B0" w:rsidRPr="00AA70B0" w:rsidRDefault="00AA70B0" w:rsidP="00E53EA1">
            <w:pPr>
              <w:pStyle w:val="Highlight"/>
            </w:pPr>
            <w:r w:rsidRPr="003D7B1D">
              <w:t>UNDP &amp; GEF</w:t>
            </w:r>
          </w:p>
        </w:tc>
        <w:tc>
          <w:tcPr>
            <w:tcW w:w="3402" w:type="dxa"/>
          </w:tcPr>
          <w:p w14:paraId="150890EB" w14:textId="46E0FF7A" w:rsidR="00AA70B0" w:rsidRPr="00AA70B0" w:rsidRDefault="00AA70B0" w:rsidP="00E53EA1">
            <w:pPr>
              <w:pStyle w:val="Highlight"/>
            </w:pPr>
            <w:r w:rsidRPr="003D7B1D">
              <w:t>Niger Delta Biodiversity Project</w:t>
            </w:r>
          </w:p>
        </w:tc>
        <w:tc>
          <w:tcPr>
            <w:tcW w:w="1276" w:type="dxa"/>
          </w:tcPr>
          <w:p w14:paraId="04AC3EBF" w14:textId="40B5D1D3" w:rsidR="00AA70B0" w:rsidRPr="00AA70B0" w:rsidRDefault="00AA70B0" w:rsidP="00E53EA1">
            <w:pPr>
              <w:pStyle w:val="Highlight"/>
            </w:pPr>
            <w:r w:rsidRPr="003D7B1D">
              <w:t>$4.61</w:t>
            </w:r>
          </w:p>
        </w:tc>
        <w:tc>
          <w:tcPr>
            <w:tcW w:w="1417" w:type="dxa"/>
          </w:tcPr>
          <w:p w14:paraId="5EEFE1C7" w14:textId="1A3F51B7" w:rsidR="00AA70B0" w:rsidRPr="00AA70B0" w:rsidRDefault="00AA70B0" w:rsidP="00E53EA1">
            <w:pPr>
              <w:pStyle w:val="Highlight"/>
            </w:pPr>
            <w:r w:rsidRPr="003D7B1D">
              <w:t>908.17</w:t>
            </w:r>
          </w:p>
        </w:tc>
        <w:tc>
          <w:tcPr>
            <w:tcW w:w="1234" w:type="dxa"/>
          </w:tcPr>
          <w:p w14:paraId="33B57891" w14:textId="0A2E8697" w:rsidR="00AA70B0" w:rsidRPr="00AA70B0" w:rsidRDefault="00AA70B0" w:rsidP="00E53EA1">
            <w:pPr>
              <w:pStyle w:val="Highlight"/>
            </w:pPr>
            <w:r w:rsidRPr="003D7B1D">
              <w:t>2013-2016</w:t>
            </w:r>
          </w:p>
        </w:tc>
      </w:tr>
      <w:tr w:rsidR="00AA70B0" w:rsidRPr="00AA70B0" w14:paraId="4CB5CD5D" w14:textId="77777777" w:rsidTr="00AA70B0">
        <w:tc>
          <w:tcPr>
            <w:tcW w:w="392" w:type="dxa"/>
          </w:tcPr>
          <w:p w14:paraId="34E9680C" w14:textId="35EE0FAB" w:rsidR="00AA70B0" w:rsidRPr="00AA70B0" w:rsidRDefault="00AA70B0" w:rsidP="00E53EA1">
            <w:pPr>
              <w:pStyle w:val="Highlight"/>
            </w:pPr>
            <w:r w:rsidRPr="003D7B1D">
              <w:t>4</w:t>
            </w:r>
          </w:p>
        </w:tc>
        <w:tc>
          <w:tcPr>
            <w:tcW w:w="1559" w:type="dxa"/>
          </w:tcPr>
          <w:p w14:paraId="79496308" w14:textId="08DBF189" w:rsidR="00AA70B0" w:rsidRPr="00AA70B0" w:rsidRDefault="00AA70B0" w:rsidP="00E53EA1">
            <w:pPr>
              <w:pStyle w:val="Highlight"/>
            </w:pPr>
            <w:r w:rsidRPr="003D7B1D">
              <w:t xml:space="preserve">World Bank </w:t>
            </w:r>
          </w:p>
        </w:tc>
        <w:tc>
          <w:tcPr>
            <w:tcW w:w="3402" w:type="dxa"/>
          </w:tcPr>
          <w:p w14:paraId="0F691F79" w14:textId="78CDC326" w:rsidR="00AA70B0" w:rsidRPr="00AA70B0" w:rsidRDefault="00AA70B0" w:rsidP="00E53EA1">
            <w:pPr>
              <w:pStyle w:val="Highlight"/>
            </w:pPr>
            <w:r w:rsidRPr="003D7B1D">
              <w:t>State Employment and Expenditure for Results Project</w:t>
            </w:r>
          </w:p>
        </w:tc>
        <w:tc>
          <w:tcPr>
            <w:tcW w:w="1276" w:type="dxa"/>
          </w:tcPr>
          <w:p w14:paraId="4EE91848" w14:textId="08C4735B" w:rsidR="00AA70B0" w:rsidRPr="00AA70B0" w:rsidRDefault="00AA70B0" w:rsidP="00E53EA1">
            <w:pPr>
              <w:pStyle w:val="Highlight"/>
            </w:pPr>
            <w:r w:rsidRPr="003D7B1D">
              <w:t>$200.00</w:t>
            </w:r>
          </w:p>
        </w:tc>
        <w:tc>
          <w:tcPr>
            <w:tcW w:w="1417" w:type="dxa"/>
          </w:tcPr>
          <w:p w14:paraId="5F556C41" w14:textId="738A28EC" w:rsidR="00AA70B0" w:rsidRPr="00AA70B0" w:rsidRDefault="00AA70B0" w:rsidP="00E53EA1">
            <w:pPr>
              <w:pStyle w:val="Highlight"/>
            </w:pPr>
            <w:r w:rsidRPr="003D7B1D">
              <w:t>39,400.00</w:t>
            </w:r>
          </w:p>
        </w:tc>
        <w:tc>
          <w:tcPr>
            <w:tcW w:w="1234" w:type="dxa"/>
          </w:tcPr>
          <w:p w14:paraId="6B26DB3E" w14:textId="1650CEC9" w:rsidR="00AA70B0" w:rsidRPr="00AA70B0" w:rsidRDefault="00AA70B0" w:rsidP="00E53EA1">
            <w:pPr>
              <w:pStyle w:val="Highlight"/>
            </w:pPr>
            <w:r w:rsidRPr="003D7B1D">
              <w:t>2012-2017</w:t>
            </w:r>
          </w:p>
        </w:tc>
      </w:tr>
      <w:tr w:rsidR="00AA70B0" w:rsidRPr="00AA70B0" w14:paraId="0C5C2A67" w14:textId="77777777" w:rsidTr="00AA70B0">
        <w:tc>
          <w:tcPr>
            <w:tcW w:w="392" w:type="dxa"/>
          </w:tcPr>
          <w:p w14:paraId="75943BBA" w14:textId="77777777" w:rsidR="00AA70B0" w:rsidRPr="00AA70B0" w:rsidRDefault="00AA70B0" w:rsidP="00E53EA1">
            <w:pPr>
              <w:pStyle w:val="Highlight"/>
            </w:pPr>
          </w:p>
        </w:tc>
        <w:tc>
          <w:tcPr>
            <w:tcW w:w="1559" w:type="dxa"/>
          </w:tcPr>
          <w:p w14:paraId="52C451B2" w14:textId="3519C1F9" w:rsidR="00AA70B0" w:rsidRPr="00AA70B0" w:rsidRDefault="00AA70B0" w:rsidP="00E53EA1">
            <w:pPr>
              <w:pStyle w:val="Highlight"/>
            </w:pPr>
            <w:r w:rsidRPr="003D7B1D">
              <w:t>Total</w:t>
            </w:r>
          </w:p>
        </w:tc>
        <w:tc>
          <w:tcPr>
            <w:tcW w:w="3402" w:type="dxa"/>
          </w:tcPr>
          <w:p w14:paraId="507EEEB5" w14:textId="77777777" w:rsidR="00AA70B0" w:rsidRPr="00AA70B0" w:rsidRDefault="00AA70B0" w:rsidP="00E53EA1">
            <w:pPr>
              <w:pStyle w:val="Highlight"/>
            </w:pPr>
          </w:p>
        </w:tc>
        <w:tc>
          <w:tcPr>
            <w:tcW w:w="1276" w:type="dxa"/>
          </w:tcPr>
          <w:p w14:paraId="309875D0" w14:textId="383335D7" w:rsidR="00AA70B0" w:rsidRPr="00AA70B0" w:rsidRDefault="00AA70B0" w:rsidP="00E53EA1">
            <w:pPr>
              <w:pStyle w:val="Highlight"/>
            </w:pPr>
            <w:r w:rsidRPr="003D7B1D">
              <w:t>$235.73</w:t>
            </w:r>
          </w:p>
        </w:tc>
        <w:tc>
          <w:tcPr>
            <w:tcW w:w="1417" w:type="dxa"/>
          </w:tcPr>
          <w:p w14:paraId="63EC8128" w14:textId="1FA53E6B" w:rsidR="00AA70B0" w:rsidRPr="00AA70B0" w:rsidRDefault="00AA70B0" w:rsidP="00E53EA1">
            <w:pPr>
              <w:pStyle w:val="Highlight"/>
            </w:pPr>
            <w:r w:rsidRPr="003D7B1D">
              <w:t>46,438.81</w:t>
            </w:r>
          </w:p>
        </w:tc>
        <w:tc>
          <w:tcPr>
            <w:tcW w:w="1234" w:type="dxa"/>
          </w:tcPr>
          <w:p w14:paraId="0323B826" w14:textId="77777777" w:rsidR="00AA70B0" w:rsidRPr="00AA70B0" w:rsidRDefault="00AA70B0" w:rsidP="00E53EA1">
            <w:pPr>
              <w:pStyle w:val="Highlight"/>
            </w:pPr>
          </w:p>
        </w:tc>
      </w:tr>
    </w:tbl>
    <w:p w14:paraId="74FA423E" w14:textId="77777777" w:rsidR="009E259A" w:rsidRPr="002A7AC4" w:rsidRDefault="009E259A" w:rsidP="00E53EA1">
      <w:pPr>
        <w:pStyle w:val="Highlight"/>
      </w:pPr>
      <w:r w:rsidRPr="002A7AC4">
        <w:t xml:space="preserve">Source: </w:t>
      </w:r>
    </w:p>
    <w:p w14:paraId="3FCC49F9" w14:textId="77777777" w:rsidR="009E259A" w:rsidRPr="002A7AC4" w:rsidRDefault="00185A4C" w:rsidP="00E53EA1">
      <w:pPr>
        <w:pStyle w:val="Highlight"/>
        <w:numPr>
          <w:ilvl w:val="0"/>
          <w:numId w:val="20"/>
        </w:numPr>
      </w:pPr>
      <w:hyperlink r:id="rId22" w:history="1">
        <w:r w:rsidR="009E259A" w:rsidRPr="002A7AC4">
          <w:rPr>
            <w:rStyle w:val="Hyperlink"/>
          </w:rPr>
          <w:t>http://devtracker.dfid.gov.uk/projects/GB-1-202585/</w:t>
        </w:r>
      </w:hyperlink>
    </w:p>
    <w:p w14:paraId="1B3E9C44" w14:textId="77777777" w:rsidR="009E259A" w:rsidRPr="002A7AC4" w:rsidRDefault="00185A4C" w:rsidP="00E53EA1">
      <w:pPr>
        <w:pStyle w:val="Highlight"/>
        <w:numPr>
          <w:ilvl w:val="0"/>
          <w:numId w:val="20"/>
        </w:numPr>
      </w:pPr>
      <w:hyperlink r:id="rId23" w:history="1">
        <w:r w:rsidR="009E259A" w:rsidRPr="002A7AC4">
          <w:rPr>
            <w:rStyle w:val="Hyperlink"/>
          </w:rPr>
          <w:t>http://www.vanguardngr.com/2011/02/niger-delta-development-chevron-usaid-strike-50m-partnership/</w:t>
        </w:r>
      </w:hyperlink>
    </w:p>
    <w:p w14:paraId="4BFDA921" w14:textId="77777777" w:rsidR="009E259A" w:rsidRPr="002A7AC4" w:rsidRDefault="00185A4C" w:rsidP="00E53EA1">
      <w:pPr>
        <w:pStyle w:val="Highlight"/>
        <w:numPr>
          <w:ilvl w:val="0"/>
          <w:numId w:val="20"/>
        </w:numPr>
      </w:pPr>
      <w:hyperlink r:id="rId24" w:history="1">
        <w:r w:rsidR="009E259A" w:rsidRPr="002A7AC4">
          <w:rPr>
            <w:rStyle w:val="Hyperlink"/>
          </w:rPr>
          <w:t>http://www.ng.undp.org/content/nigeria/en/home/operations/projects/environment_and_energy/niger-delta-biodiversity-project.html</w:t>
        </w:r>
      </w:hyperlink>
    </w:p>
    <w:p w14:paraId="5D4E3B51" w14:textId="77777777" w:rsidR="009E259A" w:rsidRPr="002A7AC4" w:rsidRDefault="00185A4C" w:rsidP="00E53EA1">
      <w:pPr>
        <w:pStyle w:val="Highlight"/>
        <w:numPr>
          <w:ilvl w:val="0"/>
          <w:numId w:val="20"/>
        </w:numPr>
      </w:pPr>
      <w:hyperlink r:id="rId25" w:history="1">
        <w:r w:rsidR="009E259A" w:rsidRPr="002A7AC4">
          <w:rPr>
            <w:rStyle w:val="Hyperlink"/>
          </w:rPr>
          <w:t>http://www.worldbank.org/projects/P121455/state-employment-expenditure-results-project?lang=en</w:t>
        </w:r>
      </w:hyperlink>
    </w:p>
    <w:p w14:paraId="1D467496" w14:textId="77777777" w:rsidR="009E259A" w:rsidRDefault="009E259A" w:rsidP="00E53EA1">
      <w:pPr>
        <w:pStyle w:val="Highlight"/>
      </w:pPr>
    </w:p>
    <w:p w14:paraId="58259280" w14:textId="77777777" w:rsidR="002A7AC4" w:rsidRPr="00225669" w:rsidRDefault="002A7AC4" w:rsidP="00E53EA1">
      <w:pPr>
        <w:pStyle w:val="Highlight"/>
      </w:pPr>
    </w:p>
    <w:p w14:paraId="32F35005" w14:textId="77777777" w:rsidR="009E259A" w:rsidRDefault="009E259A" w:rsidP="00EB2031">
      <w:pPr>
        <w:pStyle w:val="TableList"/>
      </w:pPr>
      <w:bookmarkStart w:id="57" w:name="_Toc311707946"/>
      <w:r w:rsidRPr="00225669">
        <w:t>Millennium Development Goals</w:t>
      </w:r>
      <w:bookmarkEnd w:id="57"/>
    </w:p>
    <w:p w14:paraId="34722838" w14:textId="77777777" w:rsidR="002A7AC4" w:rsidRDefault="002A7AC4" w:rsidP="00E53EA1">
      <w:pPr>
        <w:pStyle w:val="Highlight"/>
      </w:pPr>
    </w:p>
    <w:tbl>
      <w:tblPr>
        <w:tblStyle w:val="TableGrid"/>
        <w:tblW w:w="9606" w:type="dxa"/>
        <w:tblLayout w:type="fixed"/>
        <w:tblLook w:val="04A0" w:firstRow="1" w:lastRow="0" w:firstColumn="1" w:lastColumn="0" w:noHBand="0" w:noVBand="1"/>
      </w:tblPr>
      <w:tblGrid>
        <w:gridCol w:w="4928"/>
        <w:gridCol w:w="870"/>
        <w:gridCol w:w="973"/>
        <w:gridCol w:w="850"/>
        <w:gridCol w:w="992"/>
        <w:gridCol w:w="993"/>
      </w:tblGrid>
      <w:tr w:rsidR="00AB5334" w14:paraId="48D4C86E" w14:textId="77777777" w:rsidTr="00AB5334">
        <w:tc>
          <w:tcPr>
            <w:tcW w:w="4928" w:type="dxa"/>
          </w:tcPr>
          <w:p w14:paraId="7C1EAF32" w14:textId="605019BC" w:rsidR="00AB5334" w:rsidRDefault="00AB5334" w:rsidP="00E53EA1">
            <w:pPr>
              <w:pStyle w:val="Highlight"/>
            </w:pPr>
            <w:r w:rsidRPr="00CD320C">
              <w:t xml:space="preserve">Source (N'million) </w:t>
            </w:r>
          </w:p>
        </w:tc>
        <w:tc>
          <w:tcPr>
            <w:tcW w:w="870" w:type="dxa"/>
          </w:tcPr>
          <w:p w14:paraId="40341D95" w14:textId="7BF82FD0" w:rsidR="00AB5334" w:rsidRDefault="00AB5334" w:rsidP="00E53EA1">
            <w:pPr>
              <w:pStyle w:val="Highlight"/>
            </w:pPr>
            <w:r w:rsidRPr="00CD320C">
              <w:t>2014</w:t>
            </w:r>
          </w:p>
        </w:tc>
        <w:tc>
          <w:tcPr>
            <w:tcW w:w="973" w:type="dxa"/>
          </w:tcPr>
          <w:p w14:paraId="2A5FB6D2" w14:textId="7B4F3BB1" w:rsidR="00AB5334" w:rsidRDefault="00AB5334" w:rsidP="00E53EA1">
            <w:pPr>
              <w:pStyle w:val="Highlight"/>
            </w:pPr>
            <w:r w:rsidRPr="00CD320C">
              <w:t>2013</w:t>
            </w:r>
          </w:p>
        </w:tc>
        <w:tc>
          <w:tcPr>
            <w:tcW w:w="850" w:type="dxa"/>
          </w:tcPr>
          <w:p w14:paraId="34F55A06" w14:textId="29B1DC54" w:rsidR="00AB5334" w:rsidRDefault="00AB5334" w:rsidP="00E53EA1">
            <w:pPr>
              <w:pStyle w:val="Highlight"/>
            </w:pPr>
            <w:r w:rsidRPr="00CD320C">
              <w:t>2012</w:t>
            </w:r>
          </w:p>
        </w:tc>
        <w:tc>
          <w:tcPr>
            <w:tcW w:w="992" w:type="dxa"/>
          </w:tcPr>
          <w:p w14:paraId="438B79D0" w14:textId="275E5311" w:rsidR="00AB5334" w:rsidRDefault="00AB5334" w:rsidP="00E53EA1">
            <w:pPr>
              <w:pStyle w:val="Highlight"/>
            </w:pPr>
            <w:r w:rsidRPr="00CD320C">
              <w:t>2011</w:t>
            </w:r>
          </w:p>
        </w:tc>
        <w:tc>
          <w:tcPr>
            <w:tcW w:w="993" w:type="dxa"/>
          </w:tcPr>
          <w:p w14:paraId="58CCEE0A" w14:textId="68A570C4" w:rsidR="00AB5334" w:rsidRDefault="00AB5334" w:rsidP="00E53EA1">
            <w:pPr>
              <w:pStyle w:val="Highlight"/>
            </w:pPr>
            <w:r w:rsidRPr="00CD320C">
              <w:t>2010</w:t>
            </w:r>
          </w:p>
        </w:tc>
      </w:tr>
      <w:tr w:rsidR="00AB5334" w14:paraId="7B707472" w14:textId="77777777" w:rsidTr="00AB5334">
        <w:tc>
          <w:tcPr>
            <w:tcW w:w="4928" w:type="dxa"/>
          </w:tcPr>
          <w:p w14:paraId="2619F2CA" w14:textId="2DE3F4E2" w:rsidR="00AB5334" w:rsidRDefault="00AB5334" w:rsidP="00E53EA1">
            <w:pPr>
              <w:pStyle w:val="Highlight"/>
            </w:pPr>
            <w:r w:rsidRPr="00CD320C">
              <w:t>Conditional Grants and Social Safety Nets</w:t>
            </w:r>
          </w:p>
        </w:tc>
        <w:tc>
          <w:tcPr>
            <w:tcW w:w="870" w:type="dxa"/>
          </w:tcPr>
          <w:p w14:paraId="4C83E628" w14:textId="1D36483D" w:rsidR="00AB5334" w:rsidRDefault="00AB5334" w:rsidP="00E53EA1">
            <w:pPr>
              <w:pStyle w:val="Highlight"/>
            </w:pPr>
            <w:r w:rsidRPr="00CD320C">
              <w:t>67,730</w:t>
            </w:r>
          </w:p>
        </w:tc>
        <w:tc>
          <w:tcPr>
            <w:tcW w:w="973" w:type="dxa"/>
          </w:tcPr>
          <w:p w14:paraId="7B215DE6" w14:textId="467E003C" w:rsidR="00AB5334" w:rsidRDefault="00AB5334" w:rsidP="00E53EA1">
            <w:pPr>
              <w:pStyle w:val="Highlight"/>
            </w:pPr>
            <w:r w:rsidRPr="00CD320C">
              <w:t>67,000</w:t>
            </w:r>
          </w:p>
        </w:tc>
        <w:tc>
          <w:tcPr>
            <w:tcW w:w="850" w:type="dxa"/>
          </w:tcPr>
          <w:p w14:paraId="4A1C4ACC" w14:textId="6ADBE0DA" w:rsidR="00AB5334" w:rsidRDefault="00AB5334" w:rsidP="00E53EA1">
            <w:pPr>
              <w:pStyle w:val="Highlight"/>
            </w:pPr>
            <w:r w:rsidRPr="00CD320C">
              <w:t>75,990</w:t>
            </w:r>
          </w:p>
        </w:tc>
        <w:tc>
          <w:tcPr>
            <w:tcW w:w="992" w:type="dxa"/>
          </w:tcPr>
          <w:p w14:paraId="3A6E52E5" w14:textId="104DE9FC" w:rsidR="00AB5334" w:rsidRDefault="00AB5334" w:rsidP="00E53EA1">
            <w:pPr>
              <w:pStyle w:val="Highlight"/>
            </w:pPr>
            <w:r w:rsidRPr="00CD320C">
              <w:t>45,591</w:t>
            </w:r>
          </w:p>
        </w:tc>
        <w:tc>
          <w:tcPr>
            <w:tcW w:w="993" w:type="dxa"/>
          </w:tcPr>
          <w:p w14:paraId="356EEC6A" w14:textId="1816137C" w:rsidR="00AB5334" w:rsidRDefault="00AB5334" w:rsidP="00E53EA1">
            <w:pPr>
              <w:pStyle w:val="Highlight"/>
            </w:pPr>
            <w:r w:rsidRPr="00CD320C">
              <w:t>35,027</w:t>
            </w:r>
          </w:p>
        </w:tc>
      </w:tr>
      <w:tr w:rsidR="00AB5334" w14:paraId="750389FF" w14:textId="77777777" w:rsidTr="00AB5334">
        <w:tc>
          <w:tcPr>
            <w:tcW w:w="4928" w:type="dxa"/>
          </w:tcPr>
          <w:p w14:paraId="243046BB" w14:textId="21F63299" w:rsidR="00AB5334" w:rsidRDefault="00AB5334" w:rsidP="00E53EA1">
            <w:pPr>
              <w:pStyle w:val="Highlight"/>
            </w:pPr>
            <w:r w:rsidRPr="00CD320C">
              <w:t>MDG Special Projects</w:t>
            </w:r>
          </w:p>
        </w:tc>
        <w:tc>
          <w:tcPr>
            <w:tcW w:w="870" w:type="dxa"/>
          </w:tcPr>
          <w:p w14:paraId="6B163D96" w14:textId="7CFFD40C" w:rsidR="00AB5334" w:rsidRDefault="00AB5334" w:rsidP="00E53EA1">
            <w:pPr>
              <w:pStyle w:val="Highlight"/>
            </w:pPr>
            <w:r w:rsidRPr="00CD320C">
              <w:t>3,300</w:t>
            </w:r>
          </w:p>
        </w:tc>
        <w:tc>
          <w:tcPr>
            <w:tcW w:w="973" w:type="dxa"/>
          </w:tcPr>
          <w:p w14:paraId="4F459289" w14:textId="7D76C099" w:rsidR="00AB5334" w:rsidRDefault="00AB5334" w:rsidP="00E53EA1">
            <w:pPr>
              <w:pStyle w:val="Highlight"/>
            </w:pPr>
            <w:r w:rsidRPr="00CD320C">
              <w:t>10,000</w:t>
            </w:r>
          </w:p>
        </w:tc>
        <w:tc>
          <w:tcPr>
            <w:tcW w:w="850" w:type="dxa"/>
          </w:tcPr>
          <w:p w14:paraId="3B13731A" w14:textId="4FC7B1AE" w:rsidR="00AB5334" w:rsidRDefault="00AB5334" w:rsidP="00E53EA1">
            <w:pPr>
              <w:pStyle w:val="Highlight"/>
            </w:pPr>
            <w:r w:rsidRPr="00CD320C">
              <w:t>11,600</w:t>
            </w:r>
          </w:p>
        </w:tc>
        <w:tc>
          <w:tcPr>
            <w:tcW w:w="992" w:type="dxa"/>
          </w:tcPr>
          <w:p w14:paraId="74338469" w14:textId="3AF8430B" w:rsidR="00AB5334" w:rsidRDefault="00AB5334" w:rsidP="00E53EA1">
            <w:pPr>
              <w:pStyle w:val="Highlight"/>
            </w:pPr>
            <w:r w:rsidRPr="00CD320C">
              <w:t>0</w:t>
            </w:r>
          </w:p>
        </w:tc>
        <w:tc>
          <w:tcPr>
            <w:tcW w:w="993" w:type="dxa"/>
          </w:tcPr>
          <w:p w14:paraId="776B936C" w14:textId="6130C6E0" w:rsidR="00AB5334" w:rsidRDefault="00AB5334" w:rsidP="00E53EA1">
            <w:pPr>
              <w:pStyle w:val="Highlight"/>
            </w:pPr>
            <w:r w:rsidRPr="00CD320C">
              <w:t>4,000</w:t>
            </w:r>
          </w:p>
        </w:tc>
      </w:tr>
      <w:tr w:rsidR="00AB5334" w14:paraId="3C3F604F" w14:textId="77777777" w:rsidTr="00AB5334">
        <w:tc>
          <w:tcPr>
            <w:tcW w:w="4928" w:type="dxa"/>
          </w:tcPr>
          <w:p w14:paraId="23D1EDE8" w14:textId="274A5CF6" w:rsidR="00AB5334" w:rsidRDefault="00AB5334" w:rsidP="00E53EA1">
            <w:pPr>
              <w:pStyle w:val="Highlight"/>
            </w:pPr>
            <w:r w:rsidRPr="00CD320C">
              <w:t>Special Intervention MDGs 1</w:t>
            </w:r>
          </w:p>
        </w:tc>
        <w:tc>
          <w:tcPr>
            <w:tcW w:w="870" w:type="dxa"/>
          </w:tcPr>
          <w:p w14:paraId="47A090E8" w14:textId="6ADD1E2F" w:rsidR="00AB5334" w:rsidRDefault="00AB5334" w:rsidP="00E53EA1">
            <w:pPr>
              <w:pStyle w:val="Highlight"/>
            </w:pPr>
            <w:r w:rsidRPr="00CD320C">
              <w:t>17,155</w:t>
            </w:r>
          </w:p>
        </w:tc>
        <w:tc>
          <w:tcPr>
            <w:tcW w:w="973" w:type="dxa"/>
          </w:tcPr>
          <w:p w14:paraId="75E3F3E3" w14:textId="3FDBE297" w:rsidR="00AB5334" w:rsidRDefault="00AB5334" w:rsidP="00E53EA1">
            <w:pPr>
              <w:pStyle w:val="Highlight"/>
            </w:pPr>
            <w:r w:rsidRPr="00CD320C">
              <w:t>13,455</w:t>
            </w:r>
          </w:p>
        </w:tc>
        <w:tc>
          <w:tcPr>
            <w:tcW w:w="850" w:type="dxa"/>
          </w:tcPr>
          <w:p w14:paraId="451042FA" w14:textId="71909BE3" w:rsidR="00AB5334" w:rsidRDefault="00AB5334" w:rsidP="00E53EA1">
            <w:pPr>
              <w:pStyle w:val="Highlight"/>
            </w:pPr>
            <w:r w:rsidRPr="00CD320C">
              <w:t>0</w:t>
            </w:r>
          </w:p>
        </w:tc>
        <w:tc>
          <w:tcPr>
            <w:tcW w:w="992" w:type="dxa"/>
          </w:tcPr>
          <w:p w14:paraId="1BE63FDF" w14:textId="53B935EB" w:rsidR="00AB5334" w:rsidRDefault="00AB5334" w:rsidP="00E53EA1">
            <w:pPr>
              <w:pStyle w:val="Highlight"/>
            </w:pPr>
            <w:r w:rsidRPr="00CD320C">
              <w:t>0</w:t>
            </w:r>
          </w:p>
        </w:tc>
        <w:tc>
          <w:tcPr>
            <w:tcW w:w="993" w:type="dxa"/>
          </w:tcPr>
          <w:p w14:paraId="6B2D19B0" w14:textId="03566C4A" w:rsidR="00AB5334" w:rsidRDefault="00AB5334" w:rsidP="00E53EA1">
            <w:pPr>
              <w:pStyle w:val="Highlight"/>
            </w:pPr>
            <w:r w:rsidRPr="00CD320C">
              <w:t>0</w:t>
            </w:r>
          </w:p>
        </w:tc>
      </w:tr>
      <w:tr w:rsidR="00AB5334" w14:paraId="2E59DCE4" w14:textId="77777777" w:rsidTr="00AB5334">
        <w:tc>
          <w:tcPr>
            <w:tcW w:w="4928" w:type="dxa"/>
          </w:tcPr>
          <w:p w14:paraId="665E9BC7" w14:textId="25850649" w:rsidR="00AB5334" w:rsidRDefault="00AB5334" w:rsidP="00E53EA1">
            <w:pPr>
              <w:pStyle w:val="Highlight"/>
            </w:pPr>
            <w:r w:rsidRPr="00CD320C">
              <w:t>Special Intervention MDGs 2</w:t>
            </w:r>
          </w:p>
        </w:tc>
        <w:tc>
          <w:tcPr>
            <w:tcW w:w="870" w:type="dxa"/>
          </w:tcPr>
          <w:p w14:paraId="568AFC68" w14:textId="7B4EE938" w:rsidR="00AB5334" w:rsidRDefault="00AB5334" w:rsidP="00E53EA1">
            <w:pPr>
              <w:pStyle w:val="Highlight"/>
            </w:pPr>
            <w:r w:rsidRPr="00CD320C">
              <w:t>5,300</w:t>
            </w:r>
          </w:p>
        </w:tc>
        <w:tc>
          <w:tcPr>
            <w:tcW w:w="973" w:type="dxa"/>
          </w:tcPr>
          <w:p w14:paraId="2D01F6D4" w14:textId="1D560D38" w:rsidR="00AB5334" w:rsidRDefault="00AB5334" w:rsidP="00E53EA1">
            <w:pPr>
              <w:pStyle w:val="Highlight"/>
            </w:pPr>
            <w:r w:rsidRPr="00CD320C">
              <w:t>10,500</w:t>
            </w:r>
          </w:p>
        </w:tc>
        <w:tc>
          <w:tcPr>
            <w:tcW w:w="850" w:type="dxa"/>
          </w:tcPr>
          <w:p w14:paraId="3F66DCB6" w14:textId="0945EB33" w:rsidR="00AB5334" w:rsidRDefault="00AB5334" w:rsidP="00E53EA1">
            <w:pPr>
              <w:pStyle w:val="Highlight"/>
            </w:pPr>
            <w:r w:rsidRPr="00CD320C">
              <w:t>0</w:t>
            </w:r>
          </w:p>
        </w:tc>
        <w:tc>
          <w:tcPr>
            <w:tcW w:w="992" w:type="dxa"/>
          </w:tcPr>
          <w:p w14:paraId="682E06B6" w14:textId="5A5CAC70" w:rsidR="00AB5334" w:rsidRDefault="00AB5334" w:rsidP="00E53EA1">
            <w:pPr>
              <w:pStyle w:val="Highlight"/>
            </w:pPr>
            <w:r w:rsidRPr="00CD320C">
              <w:t>0</w:t>
            </w:r>
          </w:p>
        </w:tc>
        <w:tc>
          <w:tcPr>
            <w:tcW w:w="993" w:type="dxa"/>
          </w:tcPr>
          <w:p w14:paraId="48C450BA" w14:textId="30502545" w:rsidR="00AB5334" w:rsidRDefault="00AB5334" w:rsidP="00E53EA1">
            <w:pPr>
              <w:pStyle w:val="Highlight"/>
            </w:pPr>
            <w:r w:rsidRPr="00CD320C">
              <w:t>0</w:t>
            </w:r>
          </w:p>
        </w:tc>
      </w:tr>
      <w:tr w:rsidR="00AB5334" w14:paraId="1DE0BA07" w14:textId="77777777" w:rsidTr="00AB5334">
        <w:tc>
          <w:tcPr>
            <w:tcW w:w="4928" w:type="dxa"/>
          </w:tcPr>
          <w:p w14:paraId="487BF131" w14:textId="0DB2A714" w:rsidR="00AB5334" w:rsidRDefault="00AB5334" w:rsidP="00E53EA1">
            <w:pPr>
              <w:pStyle w:val="Highlight"/>
            </w:pPr>
            <w:r w:rsidRPr="00CD320C">
              <w:t>MDG Monitoring and Evaluation</w:t>
            </w:r>
          </w:p>
        </w:tc>
        <w:tc>
          <w:tcPr>
            <w:tcW w:w="870" w:type="dxa"/>
          </w:tcPr>
          <w:p w14:paraId="55E0C0E3" w14:textId="19C06A08" w:rsidR="00AB5334" w:rsidRDefault="00AB5334" w:rsidP="00E53EA1">
            <w:pPr>
              <w:pStyle w:val="Highlight"/>
            </w:pPr>
            <w:r w:rsidRPr="00CD320C">
              <w:t>3,240</w:t>
            </w:r>
          </w:p>
        </w:tc>
        <w:tc>
          <w:tcPr>
            <w:tcW w:w="973" w:type="dxa"/>
          </w:tcPr>
          <w:p w14:paraId="2A54A75F" w14:textId="05B07E7D" w:rsidR="00AB5334" w:rsidRDefault="00AB5334" w:rsidP="00E53EA1">
            <w:pPr>
              <w:pStyle w:val="Highlight"/>
            </w:pPr>
            <w:r w:rsidRPr="00CD320C">
              <w:t>3,450</w:t>
            </w:r>
          </w:p>
        </w:tc>
        <w:tc>
          <w:tcPr>
            <w:tcW w:w="850" w:type="dxa"/>
          </w:tcPr>
          <w:p w14:paraId="0CA5B85D" w14:textId="5EF1431F" w:rsidR="00AB5334" w:rsidRDefault="00AB5334" w:rsidP="00E53EA1">
            <w:pPr>
              <w:pStyle w:val="Highlight"/>
            </w:pPr>
            <w:r w:rsidRPr="00CD320C">
              <w:t>3,000</w:t>
            </w:r>
          </w:p>
        </w:tc>
        <w:tc>
          <w:tcPr>
            <w:tcW w:w="992" w:type="dxa"/>
          </w:tcPr>
          <w:p w14:paraId="4C9E7AE3" w14:textId="68A8E190" w:rsidR="00AB5334" w:rsidRDefault="00AB5334" w:rsidP="00E53EA1">
            <w:pPr>
              <w:pStyle w:val="Highlight"/>
            </w:pPr>
            <w:r w:rsidRPr="00CD320C">
              <w:t>2,000</w:t>
            </w:r>
          </w:p>
        </w:tc>
        <w:tc>
          <w:tcPr>
            <w:tcW w:w="993" w:type="dxa"/>
          </w:tcPr>
          <w:p w14:paraId="76DD2BA8" w14:textId="31E24155" w:rsidR="00AB5334" w:rsidRDefault="00AB5334" w:rsidP="00E53EA1">
            <w:pPr>
              <w:pStyle w:val="Highlight"/>
            </w:pPr>
            <w:r w:rsidRPr="00CD320C">
              <w:t>4,509</w:t>
            </w:r>
          </w:p>
        </w:tc>
      </w:tr>
      <w:tr w:rsidR="00AB5334" w14:paraId="26892DF6" w14:textId="77777777" w:rsidTr="00AB5334">
        <w:tc>
          <w:tcPr>
            <w:tcW w:w="4928" w:type="dxa"/>
          </w:tcPr>
          <w:p w14:paraId="514D6AE5" w14:textId="4FF1228F" w:rsidR="00AB5334" w:rsidRDefault="00AB5334" w:rsidP="00E53EA1">
            <w:pPr>
              <w:pStyle w:val="Highlight"/>
            </w:pPr>
            <w:r w:rsidRPr="00CD320C">
              <w:t>Communication and Advocacy (MDG)</w:t>
            </w:r>
          </w:p>
        </w:tc>
        <w:tc>
          <w:tcPr>
            <w:tcW w:w="870" w:type="dxa"/>
          </w:tcPr>
          <w:p w14:paraId="220AB08E" w14:textId="70C7A921" w:rsidR="00AB5334" w:rsidRDefault="00AB5334" w:rsidP="00E53EA1">
            <w:pPr>
              <w:pStyle w:val="Highlight"/>
            </w:pPr>
            <w:r w:rsidRPr="00CD320C">
              <w:t>610</w:t>
            </w:r>
          </w:p>
        </w:tc>
        <w:tc>
          <w:tcPr>
            <w:tcW w:w="973" w:type="dxa"/>
          </w:tcPr>
          <w:p w14:paraId="0F23F781" w14:textId="36B04762" w:rsidR="00AB5334" w:rsidRDefault="00AB5334" w:rsidP="00E53EA1">
            <w:pPr>
              <w:pStyle w:val="Highlight"/>
            </w:pPr>
            <w:r w:rsidRPr="00CD320C">
              <w:t>860</w:t>
            </w:r>
          </w:p>
        </w:tc>
        <w:tc>
          <w:tcPr>
            <w:tcW w:w="850" w:type="dxa"/>
          </w:tcPr>
          <w:p w14:paraId="71DAC103" w14:textId="23AF3FC3" w:rsidR="00AB5334" w:rsidRDefault="00AB5334" w:rsidP="00E53EA1">
            <w:pPr>
              <w:pStyle w:val="Highlight"/>
            </w:pPr>
            <w:r w:rsidRPr="00CD320C">
              <w:t>1,000</w:t>
            </w:r>
          </w:p>
        </w:tc>
        <w:tc>
          <w:tcPr>
            <w:tcW w:w="992" w:type="dxa"/>
          </w:tcPr>
          <w:p w14:paraId="702B9649" w14:textId="152DE86B" w:rsidR="00AB5334" w:rsidRDefault="00AB5334" w:rsidP="00E53EA1">
            <w:pPr>
              <w:pStyle w:val="Highlight"/>
            </w:pPr>
            <w:r w:rsidRPr="00CD320C">
              <w:t>0</w:t>
            </w:r>
          </w:p>
        </w:tc>
        <w:tc>
          <w:tcPr>
            <w:tcW w:w="993" w:type="dxa"/>
          </w:tcPr>
          <w:p w14:paraId="533154A5" w14:textId="1D3A1CC7" w:rsidR="00AB5334" w:rsidRDefault="00AB5334" w:rsidP="00E53EA1">
            <w:pPr>
              <w:pStyle w:val="Highlight"/>
            </w:pPr>
            <w:r w:rsidRPr="00CD320C">
              <w:t>1,500</w:t>
            </w:r>
          </w:p>
        </w:tc>
      </w:tr>
      <w:tr w:rsidR="00AB5334" w14:paraId="7FD95B82" w14:textId="77777777" w:rsidTr="00AB5334">
        <w:tc>
          <w:tcPr>
            <w:tcW w:w="4928" w:type="dxa"/>
          </w:tcPr>
          <w:p w14:paraId="77B4FF0B" w14:textId="596EB1D8" w:rsidR="00AB5334" w:rsidRDefault="00AB5334" w:rsidP="00E53EA1">
            <w:pPr>
              <w:pStyle w:val="Highlight"/>
            </w:pPr>
            <w:r w:rsidRPr="00CD320C">
              <w:t>Support to UNDP Millennium Campaign Programme</w:t>
            </w:r>
          </w:p>
        </w:tc>
        <w:tc>
          <w:tcPr>
            <w:tcW w:w="870" w:type="dxa"/>
          </w:tcPr>
          <w:p w14:paraId="75A9508A" w14:textId="06A9841D" w:rsidR="00AB5334" w:rsidRDefault="00AB5334" w:rsidP="00E53EA1">
            <w:pPr>
              <w:pStyle w:val="Highlight"/>
            </w:pPr>
            <w:r w:rsidRPr="00CD320C">
              <w:t>360</w:t>
            </w:r>
          </w:p>
        </w:tc>
        <w:tc>
          <w:tcPr>
            <w:tcW w:w="973" w:type="dxa"/>
          </w:tcPr>
          <w:p w14:paraId="7B83AE99" w14:textId="303DFB71" w:rsidR="00AB5334" w:rsidRDefault="00AB5334" w:rsidP="00E53EA1">
            <w:pPr>
              <w:pStyle w:val="Highlight"/>
            </w:pPr>
            <w:r w:rsidRPr="00CD320C">
              <w:t>400</w:t>
            </w:r>
          </w:p>
        </w:tc>
        <w:tc>
          <w:tcPr>
            <w:tcW w:w="850" w:type="dxa"/>
          </w:tcPr>
          <w:p w14:paraId="05CE1627" w14:textId="54E3ECA6" w:rsidR="00AB5334" w:rsidRDefault="00AB5334" w:rsidP="00E53EA1">
            <w:pPr>
              <w:pStyle w:val="Highlight"/>
            </w:pPr>
            <w:r w:rsidRPr="00CD320C">
              <w:t>500</w:t>
            </w:r>
          </w:p>
        </w:tc>
        <w:tc>
          <w:tcPr>
            <w:tcW w:w="992" w:type="dxa"/>
          </w:tcPr>
          <w:p w14:paraId="4E347F4E" w14:textId="46FA8AE6" w:rsidR="00AB5334" w:rsidRDefault="00AB5334" w:rsidP="00E53EA1">
            <w:pPr>
              <w:pStyle w:val="Highlight"/>
            </w:pPr>
            <w:r w:rsidRPr="00CD320C">
              <w:t>750</w:t>
            </w:r>
          </w:p>
        </w:tc>
        <w:tc>
          <w:tcPr>
            <w:tcW w:w="993" w:type="dxa"/>
          </w:tcPr>
          <w:p w14:paraId="4F04A276" w14:textId="14AF774B" w:rsidR="00AB5334" w:rsidRDefault="00AB5334" w:rsidP="00E53EA1">
            <w:pPr>
              <w:pStyle w:val="Highlight"/>
            </w:pPr>
            <w:r w:rsidRPr="00CD320C">
              <w:t>0</w:t>
            </w:r>
          </w:p>
        </w:tc>
      </w:tr>
      <w:tr w:rsidR="00AB5334" w14:paraId="2EA6D9EA" w14:textId="77777777" w:rsidTr="00AB5334">
        <w:tc>
          <w:tcPr>
            <w:tcW w:w="4928" w:type="dxa"/>
          </w:tcPr>
          <w:p w14:paraId="509897D7" w14:textId="2A8034A4" w:rsidR="00AB5334" w:rsidRDefault="00AB5334" w:rsidP="00E53EA1">
            <w:pPr>
              <w:pStyle w:val="Highlight"/>
            </w:pPr>
            <w:r w:rsidRPr="00CD320C">
              <w:t>Total (2010-2014)</w:t>
            </w:r>
          </w:p>
        </w:tc>
        <w:tc>
          <w:tcPr>
            <w:tcW w:w="870" w:type="dxa"/>
          </w:tcPr>
          <w:p w14:paraId="0905F8A3" w14:textId="13703A7E" w:rsidR="00AB5334" w:rsidRDefault="00AB5334" w:rsidP="00E53EA1">
            <w:pPr>
              <w:pStyle w:val="Highlight"/>
            </w:pPr>
            <w:r w:rsidRPr="00CD320C">
              <w:t>97,695</w:t>
            </w:r>
          </w:p>
        </w:tc>
        <w:tc>
          <w:tcPr>
            <w:tcW w:w="973" w:type="dxa"/>
          </w:tcPr>
          <w:p w14:paraId="45203D69" w14:textId="5380AF1E" w:rsidR="00AB5334" w:rsidRDefault="00AB5334" w:rsidP="00E53EA1">
            <w:pPr>
              <w:pStyle w:val="Highlight"/>
            </w:pPr>
            <w:r w:rsidRPr="00CD320C">
              <w:t>105,665</w:t>
            </w:r>
          </w:p>
        </w:tc>
        <w:tc>
          <w:tcPr>
            <w:tcW w:w="850" w:type="dxa"/>
          </w:tcPr>
          <w:p w14:paraId="00E0C7D4" w14:textId="0ACAE659" w:rsidR="00AB5334" w:rsidRDefault="00AB5334" w:rsidP="00E53EA1">
            <w:pPr>
              <w:pStyle w:val="Highlight"/>
            </w:pPr>
            <w:r w:rsidRPr="00CD320C">
              <w:t>92,090</w:t>
            </w:r>
          </w:p>
        </w:tc>
        <w:tc>
          <w:tcPr>
            <w:tcW w:w="992" w:type="dxa"/>
          </w:tcPr>
          <w:p w14:paraId="4A5ECBF5" w14:textId="24F38CA5" w:rsidR="00AB5334" w:rsidRDefault="00AB5334" w:rsidP="00E53EA1">
            <w:pPr>
              <w:pStyle w:val="Highlight"/>
            </w:pPr>
            <w:r w:rsidRPr="00CD320C">
              <w:t>48,341</w:t>
            </w:r>
          </w:p>
        </w:tc>
        <w:tc>
          <w:tcPr>
            <w:tcW w:w="993" w:type="dxa"/>
          </w:tcPr>
          <w:p w14:paraId="31C35BD5" w14:textId="2E676524" w:rsidR="00AB5334" w:rsidRDefault="00AB5334" w:rsidP="00E53EA1">
            <w:pPr>
              <w:pStyle w:val="Highlight"/>
            </w:pPr>
            <w:r w:rsidRPr="00CD320C">
              <w:t>45,036</w:t>
            </w:r>
          </w:p>
        </w:tc>
      </w:tr>
      <w:tr w:rsidR="00AB5334" w14:paraId="05C43429" w14:textId="77777777" w:rsidTr="00AB5334">
        <w:tc>
          <w:tcPr>
            <w:tcW w:w="4928" w:type="dxa"/>
          </w:tcPr>
          <w:p w14:paraId="5202B030" w14:textId="4F9FEFB1" w:rsidR="00AB5334" w:rsidRDefault="00AB5334" w:rsidP="00E53EA1">
            <w:pPr>
              <w:pStyle w:val="Highlight"/>
            </w:pPr>
            <w:r w:rsidRPr="00CD320C">
              <w:t xml:space="preserve"> </w:t>
            </w:r>
          </w:p>
        </w:tc>
        <w:tc>
          <w:tcPr>
            <w:tcW w:w="870" w:type="dxa"/>
          </w:tcPr>
          <w:p w14:paraId="4C2DF488" w14:textId="45BB3C6E" w:rsidR="00AB5334" w:rsidRDefault="00AB5334" w:rsidP="00E53EA1">
            <w:pPr>
              <w:pStyle w:val="Highlight"/>
            </w:pPr>
            <w:r w:rsidRPr="00CD320C">
              <w:t xml:space="preserve"> </w:t>
            </w:r>
          </w:p>
        </w:tc>
        <w:tc>
          <w:tcPr>
            <w:tcW w:w="973" w:type="dxa"/>
          </w:tcPr>
          <w:p w14:paraId="1A0AF01B" w14:textId="3B0A2DB7" w:rsidR="00AB5334" w:rsidRDefault="00AB5334" w:rsidP="00E53EA1">
            <w:pPr>
              <w:pStyle w:val="Highlight"/>
            </w:pPr>
            <w:r w:rsidRPr="00CD320C">
              <w:t xml:space="preserve"> </w:t>
            </w:r>
          </w:p>
        </w:tc>
        <w:tc>
          <w:tcPr>
            <w:tcW w:w="850" w:type="dxa"/>
          </w:tcPr>
          <w:p w14:paraId="30AA0876" w14:textId="526C7030" w:rsidR="00AB5334" w:rsidRDefault="00AB5334" w:rsidP="00E53EA1">
            <w:pPr>
              <w:pStyle w:val="Highlight"/>
            </w:pPr>
            <w:r w:rsidRPr="00CD320C">
              <w:t xml:space="preserve"> </w:t>
            </w:r>
          </w:p>
        </w:tc>
        <w:tc>
          <w:tcPr>
            <w:tcW w:w="992" w:type="dxa"/>
          </w:tcPr>
          <w:p w14:paraId="061369BE" w14:textId="6350F925" w:rsidR="00AB5334" w:rsidRDefault="00AB5334" w:rsidP="00E53EA1">
            <w:pPr>
              <w:pStyle w:val="Highlight"/>
            </w:pPr>
            <w:r w:rsidRPr="00CD320C">
              <w:t>Grand Total</w:t>
            </w:r>
          </w:p>
        </w:tc>
        <w:tc>
          <w:tcPr>
            <w:tcW w:w="993" w:type="dxa"/>
          </w:tcPr>
          <w:p w14:paraId="31CC4D74" w14:textId="4DA23826" w:rsidR="00AB5334" w:rsidRDefault="00AB5334" w:rsidP="00E53EA1">
            <w:pPr>
              <w:pStyle w:val="Highlight"/>
            </w:pPr>
            <w:r w:rsidRPr="00CD320C">
              <w:t>388,827</w:t>
            </w:r>
          </w:p>
        </w:tc>
      </w:tr>
    </w:tbl>
    <w:p w14:paraId="792A3641" w14:textId="77777777" w:rsidR="009E259A" w:rsidRPr="00225669" w:rsidRDefault="009E259A" w:rsidP="00E53EA1">
      <w:pPr>
        <w:pStyle w:val="Highlight"/>
      </w:pPr>
      <w:r w:rsidRPr="00225669">
        <w:t>Source: Budget office of the Federation</w:t>
      </w:r>
    </w:p>
    <w:p w14:paraId="63705A77" w14:textId="77777777" w:rsidR="009E259A" w:rsidRDefault="009E259A" w:rsidP="00E53EA1">
      <w:pPr>
        <w:pStyle w:val="Highlight"/>
      </w:pPr>
    </w:p>
    <w:p w14:paraId="3472FD7F" w14:textId="77777777" w:rsidR="00AB5334" w:rsidRPr="00225669" w:rsidRDefault="00AB5334" w:rsidP="00E53EA1">
      <w:pPr>
        <w:pStyle w:val="Highlight"/>
      </w:pPr>
    </w:p>
    <w:p w14:paraId="684B7500" w14:textId="77777777" w:rsidR="009E259A" w:rsidRDefault="009E259A" w:rsidP="00EB2031">
      <w:pPr>
        <w:pStyle w:val="TableList"/>
      </w:pPr>
      <w:bookmarkStart w:id="58" w:name="_Toc311707947"/>
      <w:r w:rsidRPr="00225669">
        <w:t>Ecological Funds</w:t>
      </w:r>
      <w:bookmarkEnd w:id="58"/>
    </w:p>
    <w:p w14:paraId="08278005" w14:textId="77777777" w:rsidR="00AB5334" w:rsidRDefault="00AB5334" w:rsidP="00E53EA1">
      <w:pPr>
        <w:pStyle w:val="Highlight"/>
      </w:pPr>
    </w:p>
    <w:tbl>
      <w:tblPr>
        <w:tblStyle w:val="TableGrid"/>
        <w:tblW w:w="5176" w:type="pct"/>
        <w:tblLayout w:type="fixed"/>
        <w:tblLook w:val="04A0" w:firstRow="1" w:lastRow="0" w:firstColumn="1" w:lastColumn="0" w:noHBand="0" w:noVBand="1"/>
      </w:tblPr>
      <w:tblGrid>
        <w:gridCol w:w="2658"/>
        <w:gridCol w:w="1156"/>
        <w:gridCol w:w="1159"/>
        <w:gridCol w:w="1159"/>
        <w:gridCol w:w="1159"/>
        <w:gridCol w:w="1159"/>
        <w:gridCol w:w="1157"/>
      </w:tblGrid>
      <w:tr w:rsidR="00AB5334" w14:paraId="20AEBCE0" w14:textId="77777777" w:rsidTr="00AB5334">
        <w:tc>
          <w:tcPr>
            <w:tcW w:w="1384" w:type="pct"/>
          </w:tcPr>
          <w:p w14:paraId="4E429334" w14:textId="11518398" w:rsidR="00AB5334" w:rsidRDefault="00AB5334" w:rsidP="00E53EA1">
            <w:pPr>
              <w:pStyle w:val="Highlight"/>
            </w:pPr>
            <w:r w:rsidRPr="00DB70C0">
              <w:t>Source (N'million)</w:t>
            </w:r>
          </w:p>
        </w:tc>
        <w:tc>
          <w:tcPr>
            <w:tcW w:w="602" w:type="pct"/>
          </w:tcPr>
          <w:p w14:paraId="6B1613D2" w14:textId="7F32192F" w:rsidR="00AB5334" w:rsidRDefault="00AB5334" w:rsidP="00E53EA1">
            <w:pPr>
              <w:pStyle w:val="Highlight"/>
            </w:pPr>
            <w:r w:rsidRPr="00DB70C0">
              <w:t>2014</w:t>
            </w:r>
          </w:p>
        </w:tc>
        <w:tc>
          <w:tcPr>
            <w:tcW w:w="603" w:type="pct"/>
          </w:tcPr>
          <w:p w14:paraId="490348A3" w14:textId="3FFD1E67" w:rsidR="00AB5334" w:rsidRDefault="00AB5334" w:rsidP="00E53EA1">
            <w:pPr>
              <w:pStyle w:val="Highlight"/>
            </w:pPr>
            <w:r w:rsidRPr="00DB70C0">
              <w:t>2013</w:t>
            </w:r>
          </w:p>
        </w:tc>
        <w:tc>
          <w:tcPr>
            <w:tcW w:w="603" w:type="pct"/>
          </w:tcPr>
          <w:p w14:paraId="1E067E0B" w14:textId="6C8438D8" w:rsidR="00AB5334" w:rsidRDefault="00AB5334" w:rsidP="00E53EA1">
            <w:pPr>
              <w:pStyle w:val="Highlight"/>
            </w:pPr>
            <w:r w:rsidRPr="00DB70C0">
              <w:t>2012</w:t>
            </w:r>
          </w:p>
        </w:tc>
        <w:tc>
          <w:tcPr>
            <w:tcW w:w="603" w:type="pct"/>
          </w:tcPr>
          <w:p w14:paraId="7A1E23E4" w14:textId="2785B819" w:rsidR="00AB5334" w:rsidRDefault="00AB5334" w:rsidP="00E53EA1">
            <w:pPr>
              <w:pStyle w:val="Highlight"/>
            </w:pPr>
            <w:r w:rsidRPr="00DB70C0">
              <w:t>2011</w:t>
            </w:r>
          </w:p>
        </w:tc>
        <w:tc>
          <w:tcPr>
            <w:tcW w:w="603" w:type="pct"/>
          </w:tcPr>
          <w:p w14:paraId="7153CEFF" w14:textId="4FF453D9" w:rsidR="00AB5334" w:rsidRDefault="00AB5334" w:rsidP="00E53EA1">
            <w:pPr>
              <w:pStyle w:val="Highlight"/>
            </w:pPr>
            <w:r w:rsidRPr="00DB70C0">
              <w:t>2010</w:t>
            </w:r>
          </w:p>
        </w:tc>
        <w:tc>
          <w:tcPr>
            <w:tcW w:w="603" w:type="pct"/>
          </w:tcPr>
          <w:p w14:paraId="3738FF81" w14:textId="6B419195" w:rsidR="00AB5334" w:rsidRDefault="00AB5334" w:rsidP="00E53EA1">
            <w:pPr>
              <w:pStyle w:val="Highlight"/>
            </w:pPr>
            <w:r w:rsidRPr="00DB70C0">
              <w:t>Total</w:t>
            </w:r>
          </w:p>
        </w:tc>
      </w:tr>
      <w:tr w:rsidR="00AB5334" w14:paraId="3B9EFAD5" w14:textId="77777777" w:rsidTr="00AB5334">
        <w:tc>
          <w:tcPr>
            <w:tcW w:w="1384" w:type="pct"/>
          </w:tcPr>
          <w:p w14:paraId="6A909C03" w14:textId="4D7AF498" w:rsidR="00AB5334" w:rsidRDefault="00AB5334" w:rsidP="00E53EA1">
            <w:pPr>
              <w:pStyle w:val="Highlight"/>
            </w:pPr>
            <w:r w:rsidRPr="00DB70C0">
              <w:t>Federation Account</w:t>
            </w:r>
          </w:p>
        </w:tc>
        <w:tc>
          <w:tcPr>
            <w:tcW w:w="602" w:type="pct"/>
          </w:tcPr>
          <w:p w14:paraId="48BE1999" w14:textId="0106419E" w:rsidR="00AB5334" w:rsidRDefault="00AB5334" w:rsidP="00E53EA1">
            <w:pPr>
              <w:pStyle w:val="Highlight"/>
            </w:pPr>
            <w:r w:rsidRPr="00DB70C0">
              <w:t>4,695,190</w:t>
            </w:r>
          </w:p>
        </w:tc>
        <w:tc>
          <w:tcPr>
            <w:tcW w:w="603" w:type="pct"/>
          </w:tcPr>
          <w:p w14:paraId="3FE8DBBF" w14:textId="680FE811" w:rsidR="00AB5334" w:rsidRDefault="00AB5334" w:rsidP="00E53EA1">
            <w:pPr>
              <w:pStyle w:val="Highlight"/>
            </w:pPr>
            <w:r w:rsidRPr="00DB70C0">
              <w:t>4,987,220</w:t>
            </w:r>
          </w:p>
        </w:tc>
        <w:tc>
          <w:tcPr>
            <w:tcW w:w="603" w:type="pct"/>
          </w:tcPr>
          <w:p w14:paraId="63430E11" w14:textId="4546D1AF" w:rsidR="00AB5334" w:rsidRDefault="00AB5334" w:rsidP="00E53EA1">
            <w:pPr>
              <w:pStyle w:val="Highlight"/>
            </w:pPr>
            <w:r w:rsidRPr="00DB70C0">
              <w:t>4,877,209</w:t>
            </w:r>
          </w:p>
        </w:tc>
        <w:tc>
          <w:tcPr>
            <w:tcW w:w="603" w:type="pct"/>
          </w:tcPr>
          <w:p w14:paraId="1E7FA0A8" w14:textId="48E6EF08" w:rsidR="00AB5334" w:rsidRDefault="00AB5334" w:rsidP="00E53EA1">
            <w:pPr>
              <w:pStyle w:val="Highlight"/>
            </w:pPr>
            <w:r w:rsidRPr="00DB70C0">
              <w:t>4,484,737</w:t>
            </w:r>
          </w:p>
        </w:tc>
        <w:tc>
          <w:tcPr>
            <w:tcW w:w="603" w:type="pct"/>
          </w:tcPr>
          <w:p w14:paraId="214317E3" w14:textId="5E6CD22F" w:rsidR="00AB5334" w:rsidRDefault="00AB5334" w:rsidP="00E53EA1">
            <w:pPr>
              <w:pStyle w:val="Highlight"/>
            </w:pPr>
            <w:r w:rsidRPr="00DB70C0">
              <w:t>4,427,185</w:t>
            </w:r>
          </w:p>
        </w:tc>
        <w:tc>
          <w:tcPr>
            <w:tcW w:w="603" w:type="pct"/>
          </w:tcPr>
          <w:p w14:paraId="25F8248D" w14:textId="77777777" w:rsidR="00AB5334" w:rsidRDefault="00AB5334" w:rsidP="00E53EA1">
            <w:pPr>
              <w:pStyle w:val="Highlight"/>
            </w:pPr>
          </w:p>
        </w:tc>
      </w:tr>
      <w:tr w:rsidR="00AB5334" w14:paraId="1FAAB05A" w14:textId="77777777" w:rsidTr="00AB5334">
        <w:tc>
          <w:tcPr>
            <w:tcW w:w="1384" w:type="pct"/>
          </w:tcPr>
          <w:p w14:paraId="5D098D67" w14:textId="0FC82B78" w:rsidR="00AB5334" w:rsidRDefault="00AB5334" w:rsidP="00E53EA1">
            <w:pPr>
              <w:pStyle w:val="Highlight"/>
            </w:pPr>
            <w:r w:rsidRPr="00DB70C0">
              <w:t>1% Share of Ecology</w:t>
            </w:r>
          </w:p>
        </w:tc>
        <w:tc>
          <w:tcPr>
            <w:tcW w:w="602" w:type="pct"/>
          </w:tcPr>
          <w:p w14:paraId="528281F5" w14:textId="0D385EA2" w:rsidR="00AB5334" w:rsidRDefault="00AB5334" w:rsidP="00E53EA1">
            <w:pPr>
              <w:pStyle w:val="Highlight"/>
            </w:pPr>
            <w:r w:rsidRPr="00DB70C0">
              <w:t>46,952</w:t>
            </w:r>
          </w:p>
        </w:tc>
        <w:tc>
          <w:tcPr>
            <w:tcW w:w="603" w:type="pct"/>
          </w:tcPr>
          <w:p w14:paraId="73C0702A" w14:textId="46931DA1" w:rsidR="00AB5334" w:rsidRDefault="00AB5334" w:rsidP="00E53EA1">
            <w:pPr>
              <w:pStyle w:val="Highlight"/>
            </w:pPr>
            <w:r w:rsidRPr="00DB70C0">
              <w:t>49,872</w:t>
            </w:r>
          </w:p>
        </w:tc>
        <w:tc>
          <w:tcPr>
            <w:tcW w:w="603" w:type="pct"/>
          </w:tcPr>
          <w:p w14:paraId="389BE522" w14:textId="14E48CD9" w:rsidR="00AB5334" w:rsidRDefault="00AB5334" w:rsidP="00E53EA1">
            <w:pPr>
              <w:pStyle w:val="Highlight"/>
            </w:pPr>
            <w:r w:rsidRPr="00DB70C0">
              <w:t>48,772</w:t>
            </w:r>
          </w:p>
        </w:tc>
        <w:tc>
          <w:tcPr>
            <w:tcW w:w="603" w:type="pct"/>
          </w:tcPr>
          <w:p w14:paraId="4FB21627" w14:textId="1EFC0EC4" w:rsidR="00AB5334" w:rsidRDefault="00AB5334" w:rsidP="00E53EA1">
            <w:pPr>
              <w:pStyle w:val="Highlight"/>
            </w:pPr>
            <w:r w:rsidRPr="00DB70C0">
              <w:t>44,847</w:t>
            </w:r>
          </w:p>
        </w:tc>
        <w:tc>
          <w:tcPr>
            <w:tcW w:w="603" w:type="pct"/>
          </w:tcPr>
          <w:p w14:paraId="7E08B6F9" w14:textId="46CF35F1" w:rsidR="00AB5334" w:rsidRDefault="00AB5334" w:rsidP="00E53EA1">
            <w:pPr>
              <w:pStyle w:val="Highlight"/>
            </w:pPr>
            <w:r w:rsidRPr="00DB70C0">
              <w:t>44,272</w:t>
            </w:r>
          </w:p>
        </w:tc>
        <w:tc>
          <w:tcPr>
            <w:tcW w:w="603" w:type="pct"/>
          </w:tcPr>
          <w:p w14:paraId="2F60625F" w14:textId="165535FF" w:rsidR="00AB5334" w:rsidRDefault="00AB5334" w:rsidP="00E53EA1">
            <w:pPr>
              <w:pStyle w:val="Highlight"/>
            </w:pPr>
            <w:r w:rsidRPr="00DB70C0">
              <w:t>234,715</w:t>
            </w:r>
          </w:p>
        </w:tc>
      </w:tr>
      <w:tr w:rsidR="00AB5334" w14:paraId="5ADFDFEE" w14:textId="77777777" w:rsidTr="00AB5334">
        <w:tc>
          <w:tcPr>
            <w:tcW w:w="1384" w:type="pct"/>
          </w:tcPr>
          <w:p w14:paraId="723C3E5D" w14:textId="5E052A23" w:rsidR="00AB5334" w:rsidRDefault="00AB5334" w:rsidP="00E53EA1">
            <w:pPr>
              <w:pStyle w:val="Highlight"/>
            </w:pPr>
            <w:r w:rsidRPr="00DB70C0">
              <w:t>80% (Intervention Fund)</w:t>
            </w:r>
          </w:p>
        </w:tc>
        <w:tc>
          <w:tcPr>
            <w:tcW w:w="602" w:type="pct"/>
          </w:tcPr>
          <w:p w14:paraId="0C31758B" w14:textId="072E6AE4" w:rsidR="00AB5334" w:rsidRDefault="00AB5334" w:rsidP="00E53EA1">
            <w:pPr>
              <w:pStyle w:val="Highlight"/>
            </w:pPr>
            <w:r w:rsidRPr="00DB70C0">
              <w:t>37,562</w:t>
            </w:r>
          </w:p>
        </w:tc>
        <w:tc>
          <w:tcPr>
            <w:tcW w:w="603" w:type="pct"/>
          </w:tcPr>
          <w:p w14:paraId="6076FD6E" w14:textId="1AC76F11" w:rsidR="00AB5334" w:rsidRDefault="00AB5334" w:rsidP="00E53EA1">
            <w:pPr>
              <w:pStyle w:val="Highlight"/>
            </w:pPr>
            <w:r w:rsidRPr="00DB70C0">
              <w:t>39,898</w:t>
            </w:r>
          </w:p>
        </w:tc>
        <w:tc>
          <w:tcPr>
            <w:tcW w:w="603" w:type="pct"/>
          </w:tcPr>
          <w:p w14:paraId="4FE55E0B" w14:textId="6FFCA887" w:rsidR="00AB5334" w:rsidRDefault="00AB5334" w:rsidP="00E53EA1">
            <w:pPr>
              <w:pStyle w:val="Highlight"/>
            </w:pPr>
            <w:r w:rsidRPr="00DB70C0">
              <w:t>39,018</w:t>
            </w:r>
          </w:p>
        </w:tc>
        <w:tc>
          <w:tcPr>
            <w:tcW w:w="603" w:type="pct"/>
          </w:tcPr>
          <w:p w14:paraId="2D55BA38" w14:textId="4ADA3C94" w:rsidR="00AB5334" w:rsidRDefault="00AB5334" w:rsidP="00E53EA1">
            <w:pPr>
              <w:pStyle w:val="Highlight"/>
            </w:pPr>
            <w:r w:rsidRPr="00DB70C0">
              <w:t>35,878</w:t>
            </w:r>
          </w:p>
        </w:tc>
        <w:tc>
          <w:tcPr>
            <w:tcW w:w="603" w:type="pct"/>
          </w:tcPr>
          <w:p w14:paraId="4CD5B13D" w14:textId="3152C538" w:rsidR="00AB5334" w:rsidRDefault="00AB5334" w:rsidP="00E53EA1">
            <w:pPr>
              <w:pStyle w:val="Highlight"/>
            </w:pPr>
            <w:r w:rsidRPr="00DB70C0">
              <w:t>35,417</w:t>
            </w:r>
          </w:p>
        </w:tc>
        <w:tc>
          <w:tcPr>
            <w:tcW w:w="603" w:type="pct"/>
          </w:tcPr>
          <w:p w14:paraId="3CFD4228" w14:textId="4F64CBCF" w:rsidR="00AB5334" w:rsidRDefault="00AB5334" w:rsidP="00E53EA1">
            <w:pPr>
              <w:pStyle w:val="Highlight"/>
            </w:pPr>
            <w:r w:rsidRPr="00DB70C0">
              <w:t>187,772</w:t>
            </w:r>
          </w:p>
        </w:tc>
      </w:tr>
    </w:tbl>
    <w:p w14:paraId="210BD0A2" w14:textId="77777777" w:rsidR="009E259A" w:rsidRPr="00225669" w:rsidRDefault="009E259A" w:rsidP="00E53EA1">
      <w:pPr>
        <w:pStyle w:val="Highlight"/>
      </w:pPr>
      <w:r w:rsidRPr="00225669">
        <w:t xml:space="preserve">Source: Budget Office of the Federation </w:t>
      </w:r>
    </w:p>
    <w:p w14:paraId="5D4FA4B3" w14:textId="77777777" w:rsidR="005B09D8" w:rsidRPr="00225669" w:rsidRDefault="005B09D8" w:rsidP="00137DFE">
      <w:pPr>
        <w:jc w:val="both"/>
        <w:rPr>
          <w:rFonts w:cs="Arial"/>
          <w:sz w:val="20"/>
          <w:szCs w:val="20"/>
        </w:rPr>
      </w:pPr>
    </w:p>
    <w:p w14:paraId="536E5CAA" w14:textId="77777777" w:rsidR="007A74C6" w:rsidRPr="00225669" w:rsidRDefault="006729DC" w:rsidP="00137DFE">
      <w:pPr>
        <w:pStyle w:val="AppendixHeading0"/>
        <w:rPr>
          <w:rFonts w:ascii="Arial" w:hAnsi="Arial" w:cs="Arial"/>
          <w:color w:val="auto"/>
          <w:sz w:val="24"/>
        </w:rPr>
      </w:pPr>
      <w:r w:rsidRPr="00225669">
        <w:rPr>
          <w:rFonts w:ascii="Arial" w:hAnsi="Arial" w:cs="Arial"/>
          <w:color w:val="auto"/>
          <w:sz w:val="36"/>
        </w:rPr>
        <w:br w:type="page"/>
      </w:r>
      <w:bookmarkEnd w:id="4"/>
      <w:bookmarkEnd w:id="5"/>
      <w:bookmarkEnd w:id="6"/>
    </w:p>
    <w:p w14:paraId="4BE5C657" w14:textId="77777777" w:rsidR="007A74C6" w:rsidRPr="00225669" w:rsidRDefault="00723C2F" w:rsidP="00137DFE">
      <w:pPr>
        <w:pStyle w:val="Appendix"/>
        <w:rPr>
          <w:rFonts w:ascii="Arial" w:hAnsi="Arial" w:cs="Arial"/>
          <w:color w:val="auto"/>
        </w:rPr>
      </w:pPr>
      <w:r w:rsidRPr="00225669">
        <w:rPr>
          <w:rFonts w:ascii="Arial" w:hAnsi="Arial" w:cs="Arial"/>
          <w:noProof/>
          <w:sz w:val="22"/>
          <w:szCs w:val="28"/>
          <w:lang w:val="en-US"/>
        </w:rPr>
        <mc:AlternateContent>
          <mc:Choice Requires="wps">
            <w:drawing>
              <wp:anchor distT="0" distB="0" distL="114300" distR="114300" simplePos="0" relativeHeight="251658752" behindDoc="1" locked="0" layoutInCell="1" allowOverlap="1" wp14:anchorId="710C3E7A" wp14:editId="7DC5D244">
                <wp:simplePos x="0" y="0"/>
                <wp:positionH relativeFrom="column">
                  <wp:posOffset>-1028700</wp:posOffset>
                </wp:positionH>
                <wp:positionV relativeFrom="paragraph">
                  <wp:posOffset>-936625</wp:posOffset>
                </wp:positionV>
                <wp:extent cx="8115300" cy="11772900"/>
                <wp:effectExtent l="101600" t="104775" r="101600" b="1238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0" cy="11772900"/>
                        </a:xfrm>
                        <a:prstGeom prst="rect">
                          <a:avLst/>
                        </a:prstGeom>
                        <a:solidFill>
                          <a:schemeClr val="accent5">
                            <a:lumMod val="75000"/>
                            <a:lumOff val="0"/>
                          </a:schemeClr>
                        </a:solidFill>
                        <a:ln w="19050">
                          <a:solidFill>
                            <a:srgbClr val="4A7EBB"/>
                          </a:solidFill>
                          <a:miter lim="800000"/>
                          <a:headEnd/>
                          <a:tailEnd/>
                        </a:ln>
                        <a:effectLst>
                          <a:outerShdw blurRad="63500" dist="26939"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0.95pt;margin-top:-73.7pt;width:639pt;height:9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" fillcolor="#31849b [2408]" strokecolor="#4a7ebb" strokeweight="1.5pt">
                <v:shadow on="t" opacity="22938f" offset="0,26939emu"/>
                <v:textbox inset=",7.2pt,,7.2pt"/>
              </v:rect>
            </w:pict>
          </mc:Fallback>
        </mc:AlternateContent>
      </w:r>
    </w:p>
    <w:p w14:paraId="48F6D69D" w14:textId="77777777" w:rsidR="007A74C6" w:rsidRPr="00225669" w:rsidRDefault="007A74C6" w:rsidP="00137DFE">
      <w:pPr>
        <w:pStyle w:val="Appendix"/>
        <w:rPr>
          <w:rFonts w:ascii="Arial" w:hAnsi="Arial" w:cs="Arial"/>
          <w:color w:val="auto"/>
        </w:rPr>
      </w:pPr>
    </w:p>
    <w:p w14:paraId="40942B2A" w14:textId="77777777" w:rsidR="007A74C6" w:rsidRPr="00225669" w:rsidRDefault="007A74C6" w:rsidP="00137DFE">
      <w:pPr>
        <w:pStyle w:val="Appendix"/>
        <w:rPr>
          <w:rFonts w:ascii="Arial" w:hAnsi="Arial" w:cs="Arial"/>
          <w:color w:val="auto"/>
        </w:rPr>
      </w:pPr>
    </w:p>
    <w:p w14:paraId="0F48B3D7" w14:textId="77777777" w:rsidR="00A6552B" w:rsidRPr="00225669" w:rsidRDefault="00A6552B" w:rsidP="00137DFE">
      <w:pPr>
        <w:jc w:val="both"/>
        <w:rPr>
          <w:rFonts w:cs="Arial"/>
          <w:sz w:val="22"/>
          <w:szCs w:val="28"/>
        </w:rPr>
      </w:pPr>
    </w:p>
    <w:p w14:paraId="732800D1" w14:textId="77777777" w:rsidR="00883533" w:rsidRPr="00225669" w:rsidRDefault="00883533" w:rsidP="00137DFE">
      <w:pPr>
        <w:jc w:val="both"/>
        <w:rPr>
          <w:rFonts w:cs="Arial"/>
          <w:sz w:val="22"/>
          <w:szCs w:val="28"/>
        </w:rPr>
      </w:pPr>
    </w:p>
    <w:p w14:paraId="60B4373A" w14:textId="77777777" w:rsidR="00883533" w:rsidRPr="00225669" w:rsidRDefault="00883533" w:rsidP="00137DFE">
      <w:pPr>
        <w:jc w:val="both"/>
        <w:rPr>
          <w:rFonts w:cs="Arial"/>
          <w:sz w:val="22"/>
          <w:szCs w:val="28"/>
        </w:rPr>
      </w:pPr>
    </w:p>
    <w:p w14:paraId="7CB79C16" w14:textId="77777777" w:rsidR="00883533" w:rsidRPr="00225669" w:rsidRDefault="00883533" w:rsidP="00137DFE">
      <w:pPr>
        <w:jc w:val="both"/>
        <w:rPr>
          <w:rFonts w:cs="Arial"/>
          <w:sz w:val="22"/>
          <w:szCs w:val="28"/>
        </w:rPr>
      </w:pPr>
    </w:p>
    <w:p w14:paraId="2AEBE70A" w14:textId="77777777" w:rsidR="00883533" w:rsidRPr="00225669" w:rsidRDefault="00883533" w:rsidP="00137DFE">
      <w:pPr>
        <w:jc w:val="both"/>
        <w:rPr>
          <w:rFonts w:cs="Arial"/>
          <w:sz w:val="22"/>
          <w:szCs w:val="28"/>
        </w:rPr>
      </w:pPr>
    </w:p>
    <w:p w14:paraId="370B259A" w14:textId="77777777" w:rsidR="00883533" w:rsidRPr="00225669" w:rsidRDefault="00883533" w:rsidP="00137DFE">
      <w:pPr>
        <w:jc w:val="both"/>
        <w:rPr>
          <w:rFonts w:cs="Arial"/>
          <w:sz w:val="22"/>
          <w:szCs w:val="28"/>
        </w:rPr>
      </w:pPr>
    </w:p>
    <w:p w14:paraId="41AE5CE9" w14:textId="77777777" w:rsidR="00883533" w:rsidRPr="00225669" w:rsidRDefault="00883533" w:rsidP="00137DFE">
      <w:pPr>
        <w:jc w:val="both"/>
        <w:rPr>
          <w:rFonts w:cs="Arial"/>
          <w:sz w:val="22"/>
          <w:szCs w:val="28"/>
        </w:rPr>
      </w:pPr>
    </w:p>
    <w:p w14:paraId="592F39EC" w14:textId="77777777" w:rsidR="00883533" w:rsidRPr="00225669" w:rsidRDefault="00883533" w:rsidP="00137DFE">
      <w:pPr>
        <w:jc w:val="both"/>
        <w:rPr>
          <w:rFonts w:cs="Arial"/>
          <w:sz w:val="22"/>
          <w:szCs w:val="28"/>
        </w:rPr>
      </w:pPr>
    </w:p>
    <w:p w14:paraId="03CE066D" w14:textId="77777777" w:rsidR="00883533" w:rsidRPr="00225669" w:rsidRDefault="00883533" w:rsidP="00137DFE">
      <w:pPr>
        <w:jc w:val="both"/>
        <w:rPr>
          <w:rFonts w:cs="Arial"/>
          <w:sz w:val="22"/>
          <w:szCs w:val="28"/>
        </w:rPr>
      </w:pPr>
    </w:p>
    <w:p w14:paraId="11D94876" w14:textId="77777777" w:rsidR="00883533" w:rsidRPr="00225669" w:rsidRDefault="00883533" w:rsidP="00137DFE">
      <w:pPr>
        <w:jc w:val="both"/>
        <w:rPr>
          <w:rFonts w:cs="Arial"/>
          <w:sz w:val="22"/>
          <w:szCs w:val="28"/>
        </w:rPr>
      </w:pPr>
    </w:p>
    <w:p w14:paraId="57BD8792" w14:textId="77777777" w:rsidR="00883533" w:rsidRPr="00225669" w:rsidRDefault="00883533" w:rsidP="00137DFE">
      <w:pPr>
        <w:jc w:val="both"/>
        <w:rPr>
          <w:rFonts w:cs="Arial"/>
          <w:sz w:val="22"/>
          <w:szCs w:val="28"/>
        </w:rPr>
      </w:pPr>
    </w:p>
    <w:p w14:paraId="1D06C86E" w14:textId="77777777" w:rsidR="00883533" w:rsidRPr="00225669" w:rsidRDefault="00883533" w:rsidP="00137DFE">
      <w:pPr>
        <w:jc w:val="both"/>
        <w:rPr>
          <w:rFonts w:cs="Arial"/>
          <w:sz w:val="22"/>
          <w:szCs w:val="28"/>
        </w:rPr>
      </w:pPr>
    </w:p>
    <w:p w14:paraId="2843D604" w14:textId="77777777" w:rsidR="00883533" w:rsidRPr="00225669" w:rsidRDefault="00883533" w:rsidP="00137DFE">
      <w:pPr>
        <w:jc w:val="both"/>
        <w:rPr>
          <w:rFonts w:cs="Arial"/>
          <w:sz w:val="22"/>
          <w:szCs w:val="28"/>
        </w:rPr>
      </w:pPr>
    </w:p>
    <w:p w14:paraId="4D7617D1" w14:textId="77777777" w:rsidR="00883533" w:rsidRPr="00225669" w:rsidRDefault="00883533" w:rsidP="00137DFE">
      <w:pPr>
        <w:jc w:val="both"/>
        <w:rPr>
          <w:rFonts w:cs="Arial"/>
          <w:sz w:val="22"/>
          <w:szCs w:val="28"/>
        </w:rPr>
      </w:pPr>
    </w:p>
    <w:p w14:paraId="467C87E3" w14:textId="77777777" w:rsidR="00883533" w:rsidRPr="00225669" w:rsidRDefault="00883533" w:rsidP="00137DFE">
      <w:pPr>
        <w:jc w:val="both"/>
        <w:rPr>
          <w:rFonts w:cs="Arial"/>
          <w:sz w:val="22"/>
          <w:szCs w:val="28"/>
        </w:rPr>
      </w:pPr>
    </w:p>
    <w:p w14:paraId="3275FCF0" w14:textId="77777777" w:rsidR="00883533" w:rsidRPr="00225669" w:rsidRDefault="00883533" w:rsidP="00137DFE">
      <w:pPr>
        <w:jc w:val="both"/>
        <w:rPr>
          <w:rFonts w:cs="Arial"/>
          <w:sz w:val="22"/>
          <w:szCs w:val="28"/>
        </w:rPr>
      </w:pPr>
    </w:p>
    <w:p w14:paraId="7375451F" w14:textId="77777777" w:rsidR="00883533" w:rsidRPr="00225669" w:rsidRDefault="00883533" w:rsidP="00137DFE">
      <w:pPr>
        <w:jc w:val="both"/>
        <w:rPr>
          <w:rFonts w:cs="Arial"/>
          <w:sz w:val="22"/>
          <w:szCs w:val="28"/>
        </w:rPr>
      </w:pPr>
    </w:p>
    <w:p w14:paraId="74E9B078" w14:textId="77777777" w:rsidR="00883533" w:rsidRPr="00225669" w:rsidRDefault="00883533" w:rsidP="00137DFE">
      <w:pPr>
        <w:jc w:val="both"/>
        <w:rPr>
          <w:rFonts w:cs="Arial"/>
          <w:sz w:val="22"/>
          <w:szCs w:val="28"/>
        </w:rPr>
      </w:pPr>
    </w:p>
    <w:p w14:paraId="4423CF53" w14:textId="77777777" w:rsidR="00883533" w:rsidRPr="00225669" w:rsidRDefault="00883533" w:rsidP="00137DFE">
      <w:pPr>
        <w:jc w:val="both"/>
        <w:rPr>
          <w:rFonts w:cs="Arial"/>
          <w:sz w:val="22"/>
          <w:szCs w:val="28"/>
        </w:rPr>
      </w:pPr>
    </w:p>
    <w:p w14:paraId="2CD57400" w14:textId="77777777" w:rsidR="00883533" w:rsidRPr="00225669" w:rsidRDefault="00883533" w:rsidP="00137DFE">
      <w:pPr>
        <w:jc w:val="both"/>
        <w:rPr>
          <w:rFonts w:cs="Arial"/>
          <w:sz w:val="22"/>
          <w:szCs w:val="28"/>
        </w:rPr>
      </w:pPr>
    </w:p>
    <w:p w14:paraId="13CFFD78" w14:textId="77777777" w:rsidR="00883533" w:rsidRPr="00225669" w:rsidRDefault="00883533" w:rsidP="00137DFE">
      <w:pPr>
        <w:jc w:val="both"/>
        <w:rPr>
          <w:rFonts w:cs="Arial"/>
          <w:sz w:val="22"/>
          <w:szCs w:val="28"/>
        </w:rPr>
      </w:pPr>
    </w:p>
    <w:p w14:paraId="2D3B936D" w14:textId="77777777" w:rsidR="00883533" w:rsidRPr="00225669" w:rsidRDefault="00883533" w:rsidP="00137DFE">
      <w:pPr>
        <w:jc w:val="both"/>
        <w:rPr>
          <w:rFonts w:cs="Arial"/>
          <w:sz w:val="22"/>
          <w:szCs w:val="28"/>
        </w:rPr>
      </w:pPr>
    </w:p>
    <w:p w14:paraId="6193843A" w14:textId="77777777" w:rsidR="00334263" w:rsidRPr="00225669" w:rsidRDefault="00334263" w:rsidP="00137DFE">
      <w:pPr>
        <w:jc w:val="both"/>
        <w:rPr>
          <w:rFonts w:cs="Arial"/>
          <w:sz w:val="22"/>
          <w:szCs w:val="28"/>
        </w:rPr>
      </w:pPr>
    </w:p>
    <w:p w14:paraId="734497C8" w14:textId="77777777" w:rsidR="00334263" w:rsidRPr="00225669" w:rsidRDefault="00334263" w:rsidP="00137DFE">
      <w:pPr>
        <w:jc w:val="both"/>
        <w:rPr>
          <w:rFonts w:cs="Arial"/>
          <w:sz w:val="22"/>
          <w:szCs w:val="28"/>
        </w:rPr>
      </w:pPr>
    </w:p>
    <w:p w14:paraId="297FD762" w14:textId="77777777" w:rsidR="00842990" w:rsidRPr="00225669" w:rsidRDefault="00842990" w:rsidP="00137DFE">
      <w:pPr>
        <w:jc w:val="both"/>
        <w:rPr>
          <w:rFonts w:cs="Arial"/>
          <w:sz w:val="22"/>
          <w:szCs w:val="28"/>
        </w:rPr>
      </w:pPr>
    </w:p>
    <w:p w14:paraId="28768AAB" w14:textId="77777777" w:rsidR="00842990" w:rsidRPr="00225669" w:rsidRDefault="00842990" w:rsidP="00137DFE">
      <w:pPr>
        <w:jc w:val="both"/>
        <w:rPr>
          <w:rFonts w:cs="Arial"/>
          <w:sz w:val="22"/>
          <w:szCs w:val="28"/>
        </w:rPr>
      </w:pPr>
    </w:p>
    <w:p w14:paraId="66B28135" w14:textId="77777777" w:rsidR="00842990" w:rsidRPr="00225669" w:rsidRDefault="00842990" w:rsidP="00137DFE">
      <w:pPr>
        <w:jc w:val="both"/>
        <w:rPr>
          <w:rFonts w:cs="Arial"/>
          <w:sz w:val="22"/>
          <w:szCs w:val="28"/>
        </w:rPr>
      </w:pPr>
    </w:p>
    <w:p w14:paraId="6913CC35" w14:textId="77777777" w:rsidR="00842990" w:rsidRPr="00225669" w:rsidRDefault="00842990" w:rsidP="00137DFE">
      <w:pPr>
        <w:jc w:val="both"/>
        <w:rPr>
          <w:rFonts w:cs="Arial"/>
          <w:sz w:val="22"/>
          <w:szCs w:val="28"/>
        </w:rPr>
      </w:pPr>
    </w:p>
    <w:p w14:paraId="378DF40E" w14:textId="77777777" w:rsidR="00842990" w:rsidRPr="00225669" w:rsidRDefault="00842990" w:rsidP="00137DFE">
      <w:pPr>
        <w:jc w:val="both"/>
        <w:rPr>
          <w:rFonts w:cs="Arial"/>
          <w:sz w:val="22"/>
          <w:szCs w:val="28"/>
        </w:rPr>
      </w:pPr>
    </w:p>
    <w:p w14:paraId="5BD89F04" w14:textId="77777777" w:rsidR="00334263" w:rsidRPr="00225669" w:rsidRDefault="00334263" w:rsidP="00137DFE">
      <w:pPr>
        <w:jc w:val="both"/>
        <w:rPr>
          <w:rFonts w:cs="Arial"/>
          <w:sz w:val="22"/>
          <w:szCs w:val="28"/>
        </w:rPr>
      </w:pPr>
    </w:p>
    <w:p w14:paraId="205945CE" w14:textId="77777777" w:rsidR="00334263" w:rsidRPr="00225669" w:rsidRDefault="00334263" w:rsidP="00137DFE">
      <w:pPr>
        <w:jc w:val="both"/>
        <w:rPr>
          <w:rFonts w:cs="Arial"/>
          <w:sz w:val="22"/>
          <w:szCs w:val="28"/>
        </w:rPr>
      </w:pPr>
    </w:p>
    <w:p w14:paraId="1BD7B226" w14:textId="77777777" w:rsidR="00883533" w:rsidRPr="00225669" w:rsidRDefault="00883533" w:rsidP="00137DFE">
      <w:pPr>
        <w:jc w:val="both"/>
        <w:rPr>
          <w:rFonts w:cs="Arial"/>
          <w:sz w:val="22"/>
          <w:szCs w:val="28"/>
        </w:rPr>
      </w:pPr>
    </w:p>
    <w:p w14:paraId="3CDA2C21" w14:textId="77777777" w:rsidR="00883533" w:rsidRPr="00225669" w:rsidRDefault="00883533" w:rsidP="00137DFE">
      <w:pPr>
        <w:jc w:val="both"/>
        <w:rPr>
          <w:rFonts w:cs="Arial"/>
          <w:sz w:val="22"/>
          <w:szCs w:val="28"/>
        </w:rPr>
      </w:pPr>
    </w:p>
    <w:p w14:paraId="18DBBD0A" w14:textId="77777777" w:rsidR="00883533" w:rsidRPr="00225669" w:rsidRDefault="00883533" w:rsidP="00137DFE">
      <w:pPr>
        <w:jc w:val="both"/>
        <w:rPr>
          <w:rFonts w:cs="Arial"/>
          <w:sz w:val="22"/>
          <w:szCs w:val="28"/>
        </w:rPr>
      </w:pPr>
    </w:p>
    <w:p w14:paraId="40EFF450" w14:textId="77777777" w:rsidR="00A6552B" w:rsidRPr="00225669" w:rsidRDefault="00334263" w:rsidP="00137DFE">
      <w:pPr>
        <w:jc w:val="both"/>
        <w:rPr>
          <w:rFonts w:cs="Arial"/>
          <w:sz w:val="22"/>
          <w:szCs w:val="28"/>
        </w:rPr>
      </w:pPr>
      <w:r w:rsidRPr="00225669">
        <w:rPr>
          <w:rFonts w:cs="Arial"/>
          <w:noProof/>
          <w:sz w:val="22"/>
          <w:szCs w:val="28"/>
          <w:lang w:val="en-US"/>
        </w:rPr>
        <w:drawing>
          <wp:inline distT="0" distB="0" distL="0" distR="0" wp14:anchorId="292075F6" wp14:editId="5D5A3090">
            <wp:extent cx="1863090" cy="786765"/>
            <wp:effectExtent l="0" t="0" r="0"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3090" cy="786765"/>
                    </a:xfrm>
                    <a:prstGeom prst="rect">
                      <a:avLst/>
                    </a:prstGeom>
                    <a:noFill/>
                    <a:ln>
                      <a:noFill/>
                    </a:ln>
                  </pic:spPr>
                </pic:pic>
              </a:graphicData>
            </a:graphic>
          </wp:inline>
        </w:drawing>
      </w:r>
    </w:p>
    <w:p w14:paraId="507C6612" w14:textId="77777777" w:rsidR="00A12D6E" w:rsidRPr="00225669" w:rsidRDefault="00A12D6E" w:rsidP="00137DFE">
      <w:pPr>
        <w:jc w:val="both"/>
        <w:rPr>
          <w:rFonts w:cs="Arial"/>
          <w:b/>
          <w:sz w:val="20"/>
          <w:szCs w:val="28"/>
        </w:rPr>
      </w:pPr>
    </w:p>
    <w:p w14:paraId="4F64A58B" w14:textId="77777777" w:rsidR="00A6552B" w:rsidRPr="00225669" w:rsidRDefault="00A6552B" w:rsidP="00137DFE">
      <w:pPr>
        <w:widowControl w:val="0"/>
        <w:autoSpaceDE w:val="0"/>
        <w:autoSpaceDN w:val="0"/>
        <w:adjustRightInd w:val="0"/>
        <w:jc w:val="both"/>
        <w:rPr>
          <w:rFonts w:eastAsia="Times New Roman" w:cs="Arial"/>
          <w:color w:val="FFFFFF" w:themeColor="background1"/>
          <w:sz w:val="18"/>
        </w:rPr>
      </w:pPr>
      <w:r w:rsidRPr="00225669">
        <w:rPr>
          <w:rFonts w:eastAsia="Times New Roman" w:cs="Arial"/>
          <w:color w:val="FFFFFF" w:themeColor="background1"/>
          <w:sz w:val="18"/>
        </w:rPr>
        <w:t>+234 701 002 7301</w:t>
      </w:r>
    </w:p>
    <w:p w14:paraId="632F99A4" w14:textId="77777777" w:rsidR="00A6552B" w:rsidRPr="00225669" w:rsidRDefault="00A6552B" w:rsidP="00137DFE">
      <w:pPr>
        <w:widowControl w:val="0"/>
        <w:autoSpaceDE w:val="0"/>
        <w:autoSpaceDN w:val="0"/>
        <w:adjustRightInd w:val="0"/>
        <w:jc w:val="both"/>
        <w:rPr>
          <w:rFonts w:eastAsia="Times New Roman" w:cs="Arial"/>
          <w:color w:val="FFFFFF" w:themeColor="background1"/>
          <w:sz w:val="18"/>
        </w:rPr>
      </w:pPr>
      <w:r w:rsidRPr="00225669">
        <w:rPr>
          <w:rFonts w:eastAsia="Times New Roman" w:cs="Arial"/>
          <w:color w:val="FFFFFF" w:themeColor="background1"/>
          <w:sz w:val="18"/>
        </w:rPr>
        <w:t>info@nextierlimited.com</w:t>
      </w:r>
    </w:p>
    <w:p w14:paraId="342601BE" w14:textId="77777777" w:rsidR="00A6552B" w:rsidRPr="00225669" w:rsidRDefault="00A6552B" w:rsidP="00137DFE">
      <w:pPr>
        <w:widowControl w:val="0"/>
        <w:autoSpaceDE w:val="0"/>
        <w:autoSpaceDN w:val="0"/>
        <w:adjustRightInd w:val="0"/>
        <w:jc w:val="both"/>
        <w:rPr>
          <w:rFonts w:eastAsia="Times New Roman" w:cs="Arial"/>
          <w:color w:val="FFFFFF" w:themeColor="background1"/>
          <w:sz w:val="18"/>
        </w:rPr>
      </w:pPr>
      <w:r w:rsidRPr="00225669">
        <w:rPr>
          <w:rFonts w:eastAsia="Times New Roman" w:cs="Arial"/>
          <w:color w:val="FFFFFF" w:themeColor="background1"/>
          <w:sz w:val="18"/>
        </w:rPr>
        <w:t>www.nextierlimited.com</w:t>
      </w:r>
    </w:p>
    <w:p w14:paraId="311DB5B5" w14:textId="77777777" w:rsidR="00E3358F" w:rsidRPr="00225669" w:rsidRDefault="00E3358F" w:rsidP="00137DFE">
      <w:pPr>
        <w:jc w:val="both"/>
        <w:rPr>
          <w:rFonts w:cs="Arial"/>
          <w:b/>
          <w:color w:val="FFFFFF" w:themeColor="background1"/>
          <w:sz w:val="20"/>
          <w:szCs w:val="28"/>
        </w:rPr>
      </w:pPr>
    </w:p>
    <w:sectPr w:rsidR="00E3358F" w:rsidRPr="00225669" w:rsidSect="00F64331">
      <w:footerReference w:type="default" r:id="rId27"/>
      <w:footerReference w:type="first" r:id="rId28"/>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42B35" w14:textId="77777777" w:rsidR="00AA70B0" w:rsidRDefault="00AA70B0" w:rsidP="001972A8">
      <w:r>
        <w:separator/>
      </w:r>
    </w:p>
  </w:endnote>
  <w:endnote w:type="continuationSeparator" w:id="0">
    <w:p w14:paraId="3514BCA1" w14:textId="77777777" w:rsidR="00AA70B0" w:rsidRDefault="00AA70B0" w:rsidP="0019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Helvetica Neue Bold Condensed">
    <w:panose1 w:val="0200080600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Eurostile">
    <w:panose1 w:val="020B050402020205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8000007F" w:usb1="0000000A" w:usb2="00000000" w:usb3="00000000" w:csb0="00000007" w:csb1="00000000"/>
  </w:font>
  <w:font w:name="Helvetica Neue">
    <w:panose1 w:val="02000503000000020004"/>
    <w:charset w:val="00"/>
    <w:family w:val="auto"/>
    <w:pitch w:val="variable"/>
    <w:sig w:usb0="80000067" w:usb1="00000000" w:usb2="00000000" w:usb3="00000000" w:csb0="00000001" w:csb1="00000000"/>
  </w:font>
  <w:font w:name="Blackmoor LET">
    <w:altName w:val="Geneva"/>
    <w:panose1 w:val="02000500000000000000"/>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Gill Sans MT">
    <w:panose1 w:val="020B0502020104020203"/>
    <w:charset w:val="00"/>
    <w:family w:val="auto"/>
    <w:pitch w:val="variable"/>
    <w:sig w:usb0="00000003" w:usb1="00000000" w:usb2="00000000" w:usb3="00000000" w:csb0="00000003" w:csb1="00000000"/>
  </w:font>
  <w:font w:name="Minion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95062" w14:textId="77777777" w:rsidR="00AA70B0" w:rsidRDefault="00AA70B0" w:rsidP="00225669">
    <w:pPr>
      <w:pStyle w:val="Footer"/>
      <w:tabs>
        <w:tab w:val="clear" w:pos="4320"/>
        <w:tab w:val="clear" w:pos="8640"/>
        <w:tab w:val="center" w:pos="4678"/>
        <w:tab w:val="right" w:pos="9356"/>
      </w:tabs>
      <w:rPr>
        <w:sz w:val="20"/>
        <w:u w:val="single"/>
      </w:rPr>
    </w:pPr>
  </w:p>
  <w:p w14:paraId="660D9E02" w14:textId="77777777" w:rsidR="00AA70B0" w:rsidRDefault="00AA70B0" w:rsidP="00225669">
    <w:pPr>
      <w:pStyle w:val="Footer"/>
      <w:tabs>
        <w:tab w:val="clear" w:pos="4320"/>
        <w:tab w:val="clear" w:pos="8640"/>
        <w:tab w:val="center" w:pos="7230"/>
        <w:tab w:val="right" w:pos="14601"/>
      </w:tabs>
      <w:rPr>
        <w:sz w:val="20"/>
      </w:rPr>
    </w:pPr>
    <w:r w:rsidRPr="00E845ED">
      <w:rPr>
        <w:color w:val="548DD4" w:themeColor="text2" w:themeTint="99"/>
        <w:sz w:val="20"/>
      </w:rPr>
      <w:t>Nextier Advisory</w:t>
    </w:r>
    <w:r w:rsidRPr="006C10B5">
      <w:rPr>
        <w:sz w:val="20"/>
      </w:rPr>
      <w:tab/>
    </w:r>
    <w:r w:rsidRPr="006C10B5">
      <w:rPr>
        <w:rFonts w:cs="Times New Roman"/>
        <w:sz w:val="20"/>
      </w:rPr>
      <w:t xml:space="preserve">Page </w:t>
    </w:r>
    <w:r w:rsidRPr="006C10B5">
      <w:rPr>
        <w:rFonts w:cs="Times New Roman"/>
        <w:sz w:val="20"/>
      </w:rPr>
      <w:fldChar w:fldCharType="begin"/>
    </w:r>
    <w:r w:rsidRPr="006C10B5">
      <w:rPr>
        <w:rFonts w:cs="Times New Roman"/>
        <w:sz w:val="20"/>
      </w:rPr>
      <w:instrText xml:space="preserve"> PAGE </w:instrText>
    </w:r>
    <w:r w:rsidRPr="006C10B5">
      <w:rPr>
        <w:rFonts w:cs="Times New Roman"/>
        <w:sz w:val="20"/>
      </w:rPr>
      <w:fldChar w:fldCharType="separate"/>
    </w:r>
    <w:r w:rsidR="00185A4C">
      <w:rPr>
        <w:rFonts w:cs="Times New Roman"/>
        <w:noProof/>
        <w:sz w:val="20"/>
      </w:rPr>
      <w:t>6</w:t>
    </w:r>
    <w:r w:rsidRPr="006C10B5">
      <w:rPr>
        <w:rFonts w:cs="Times New Roman"/>
        <w:sz w:val="20"/>
      </w:rPr>
      <w:fldChar w:fldCharType="end"/>
    </w:r>
    <w:r w:rsidRPr="006C10B5">
      <w:rPr>
        <w:sz w:val="20"/>
      </w:rPr>
      <w:tab/>
    </w:r>
    <w:r>
      <w:rPr>
        <w:sz w:val="20"/>
      </w:rPr>
      <w:t xml:space="preserve">December </w:t>
    </w:r>
    <w:r w:rsidRPr="006C10B5">
      <w:rPr>
        <w:sz w:val="20"/>
      </w:rPr>
      <w:t>2015</w:t>
    </w:r>
  </w:p>
  <w:p w14:paraId="652A7F03" w14:textId="77E0AEED" w:rsidR="00AA70B0" w:rsidRPr="00225669" w:rsidRDefault="00AA70B0" w:rsidP="00225669">
    <w:pPr>
      <w:pStyle w:val="Footer"/>
      <w:tabs>
        <w:tab w:val="clear" w:pos="4320"/>
        <w:tab w:val="clear" w:pos="8640"/>
        <w:tab w:val="center" w:pos="4678"/>
        <w:tab w:val="right" w:pos="9356"/>
      </w:tabs>
      <w:rPr>
        <w:color w:val="548DD4" w:themeColor="text2" w:themeTint="99"/>
        <w:sz w:val="10"/>
      </w:rPr>
    </w:pPr>
    <w:r w:rsidRPr="00E845ED">
      <w:rPr>
        <w:color w:val="548DD4" w:themeColor="text2" w:themeTint="99"/>
        <w:sz w:val="10"/>
      </w:rPr>
      <w:t>The Public Sector Advisory Firm</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6113B" w14:textId="77777777" w:rsidR="00AA70B0" w:rsidRDefault="00AA70B0" w:rsidP="00225669">
    <w:pPr>
      <w:pStyle w:val="Footer"/>
      <w:tabs>
        <w:tab w:val="clear" w:pos="4320"/>
        <w:tab w:val="clear" w:pos="8640"/>
        <w:tab w:val="center" w:pos="4678"/>
        <w:tab w:val="right" w:pos="9356"/>
      </w:tabs>
      <w:rPr>
        <w:sz w:val="20"/>
        <w:u w:val="single"/>
      </w:rPr>
    </w:pPr>
  </w:p>
  <w:p w14:paraId="4C9FE10B" w14:textId="77777777" w:rsidR="00AA70B0" w:rsidRDefault="00AA70B0" w:rsidP="00225669">
    <w:pPr>
      <w:pStyle w:val="Footer"/>
      <w:tabs>
        <w:tab w:val="clear" w:pos="4320"/>
        <w:tab w:val="clear" w:pos="8640"/>
        <w:tab w:val="center" w:pos="7230"/>
        <w:tab w:val="right" w:pos="14601"/>
      </w:tabs>
      <w:rPr>
        <w:sz w:val="20"/>
      </w:rPr>
    </w:pPr>
    <w:r w:rsidRPr="00E845ED">
      <w:rPr>
        <w:color w:val="548DD4" w:themeColor="text2" w:themeTint="99"/>
        <w:sz w:val="20"/>
      </w:rPr>
      <w:t>Nextier Advisory</w:t>
    </w:r>
    <w:r w:rsidRPr="006C10B5">
      <w:rPr>
        <w:sz w:val="20"/>
      </w:rPr>
      <w:tab/>
    </w:r>
    <w:r w:rsidRPr="006C10B5">
      <w:rPr>
        <w:rFonts w:cs="Times New Roman"/>
        <w:sz w:val="20"/>
      </w:rPr>
      <w:t xml:space="preserve">Page </w:t>
    </w:r>
    <w:r w:rsidRPr="006C10B5">
      <w:rPr>
        <w:rFonts w:cs="Times New Roman"/>
        <w:sz w:val="20"/>
      </w:rPr>
      <w:fldChar w:fldCharType="begin"/>
    </w:r>
    <w:r w:rsidRPr="006C10B5">
      <w:rPr>
        <w:rFonts w:cs="Times New Roman"/>
        <w:sz w:val="20"/>
      </w:rPr>
      <w:instrText xml:space="preserve"> PAGE </w:instrText>
    </w:r>
    <w:r w:rsidRPr="006C10B5">
      <w:rPr>
        <w:rFonts w:cs="Times New Roman"/>
        <w:sz w:val="20"/>
      </w:rPr>
      <w:fldChar w:fldCharType="separate"/>
    </w:r>
    <w:r w:rsidR="00185A4C">
      <w:rPr>
        <w:rFonts w:cs="Times New Roman"/>
        <w:noProof/>
        <w:sz w:val="20"/>
      </w:rPr>
      <w:t>1</w:t>
    </w:r>
    <w:r w:rsidRPr="006C10B5">
      <w:rPr>
        <w:rFonts w:cs="Times New Roman"/>
        <w:sz w:val="20"/>
      </w:rPr>
      <w:fldChar w:fldCharType="end"/>
    </w:r>
    <w:r w:rsidRPr="006C10B5">
      <w:rPr>
        <w:sz w:val="20"/>
      </w:rPr>
      <w:tab/>
    </w:r>
    <w:r>
      <w:rPr>
        <w:sz w:val="20"/>
      </w:rPr>
      <w:t xml:space="preserve">December </w:t>
    </w:r>
    <w:r w:rsidRPr="006C10B5">
      <w:rPr>
        <w:sz w:val="20"/>
      </w:rPr>
      <w:t>2015</w:t>
    </w:r>
  </w:p>
  <w:p w14:paraId="563575EC" w14:textId="2ADB0DCA" w:rsidR="00AA70B0" w:rsidRPr="00225669" w:rsidRDefault="00AA70B0" w:rsidP="00225669">
    <w:pPr>
      <w:pStyle w:val="Footer"/>
      <w:tabs>
        <w:tab w:val="clear" w:pos="4320"/>
        <w:tab w:val="clear" w:pos="8640"/>
        <w:tab w:val="center" w:pos="4678"/>
        <w:tab w:val="right" w:pos="9356"/>
      </w:tabs>
      <w:rPr>
        <w:color w:val="548DD4" w:themeColor="text2" w:themeTint="99"/>
        <w:sz w:val="10"/>
      </w:rPr>
    </w:pPr>
    <w:r w:rsidRPr="00E845ED">
      <w:rPr>
        <w:color w:val="548DD4" w:themeColor="text2" w:themeTint="99"/>
        <w:sz w:val="10"/>
      </w:rPr>
      <w:t>The Public Sector Advisory Firm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C991" w14:textId="77777777" w:rsidR="00A71550" w:rsidRDefault="00A71550" w:rsidP="00A71550">
    <w:pPr>
      <w:pStyle w:val="Footer"/>
      <w:tabs>
        <w:tab w:val="clear" w:pos="4320"/>
        <w:tab w:val="clear" w:pos="8640"/>
        <w:tab w:val="center" w:pos="4678"/>
        <w:tab w:val="right" w:pos="9356"/>
      </w:tabs>
      <w:rPr>
        <w:sz w:val="20"/>
        <w:u w:val="single"/>
      </w:rPr>
    </w:pPr>
  </w:p>
  <w:p w14:paraId="1A05947F" w14:textId="77777777" w:rsidR="00A71550" w:rsidRDefault="00A71550" w:rsidP="00A71550">
    <w:pPr>
      <w:pStyle w:val="Footer"/>
      <w:tabs>
        <w:tab w:val="clear" w:pos="4320"/>
        <w:tab w:val="clear" w:pos="8640"/>
        <w:tab w:val="center" w:pos="4678"/>
        <w:tab w:val="right" w:pos="9072"/>
      </w:tabs>
      <w:rPr>
        <w:sz w:val="20"/>
      </w:rPr>
    </w:pPr>
    <w:r w:rsidRPr="00E845ED">
      <w:rPr>
        <w:color w:val="548DD4" w:themeColor="text2" w:themeTint="99"/>
        <w:sz w:val="20"/>
      </w:rPr>
      <w:t>Nextier Advisory</w:t>
    </w:r>
    <w:r w:rsidRPr="006C10B5">
      <w:rPr>
        <w:sz w:val="20"/>
      </w:rPr>
      <w:tab/>
    </w:r>
    <w:r w:rsidRPr="006C10B5">
      <w:rPr>
        <w:rFonts w:cs="Times New Roman"/>
        <w:sz w:val="20"/>
      </w:rPr>
      <w:t xml:space="preserve">Page </w:t>
    </w:r>
    <w:r w:rsidRPr="006C10B5">
      <w:rPr>
        <w:rFonts w:cs="Times New Roman"/>
        <w:sz w:val="20"/>
      </w:rPr>
      <w:fldChar w:fldCharType="begin"/>
    </w:r>
    <w:r w:rsidRPr="006C10B5">
      <w:rPr>
        <w:rFonts w:cs="Times New Roman"/>
        <w:sz w:val="20"/>
      </w:rPr>
      <w:instrText xml:space="preserve"> PAGE </w:instrText>
    </w:r>
    <w:r w:rsidRPr="006C10B5">
      <w:rPr>
        <w:rFonts w:cs="Times New Roman"/>
        <w:sz w:val="20"/>
      </w:rPr>
      <w:fldChar w:fldCharType="separate"/>
    </w:r>
    <w:r w:rsidR="00185A4C">
      <w:rPr>
        <w:rFonts w:cs="Times New Roman"/>
        <w:noProof/>
        <w:sz w:val="20"/>
      </w:rPr>
      <w:t>50</w:t>
    </w:r>
    <w:r w:rsidRPr="006C10B5">
      <w:rPr>
        <w:rFonts w:cs="Times New Roman"/>
        <w:sz w:val="20"/>
      </w:rPr>
      <w:fldChar w:fldCharType="end"/>
    </w:r>
    <w:r w:rsidRPr="006C10B5">
      <w:rPr>
        <w:sz w:val="20"/>
      </w:rPr>
      <w:tab/>
    </w:r>
    <w:r>
      <w:rPr>
        <w:sz w:val="20"/>
      </w:rPr>
      <w:t xml:space="preserve">December </w:t>
    </w:r>
    <w:r w:rsidRPr="006C10B5">
      <w:rPr>
        <w:sz w:val="20"/>
      </w:rPr>
      <w:t>2015</w:t>
    </w:r>
  </w:p>
  <w:p w14:paraId="67027C4D" w14:textId="279ED2D8" w:rsidR="00A71550" w:rsidRPr="00225669" w:rsidRDefault="00A71550" w:rsidP="00225669">
    <w:pPr>
      <w:pStyle w:val="Footer"/>
      <w:tabs>
        <w:tab w:val="clear" w:pos="4320"/>
        <w:tab w:val="clear" w:pos="8640"/>
        <w:tab w:val="center" w:pos="4678"/>
        <w:tab w:val="right" w:pos="9356"/>
      </w:tabs>
      <w:rPr>
        <w:color w:val="548DD4" w:themeColor="text2" w:themeTint="99"/>
        <w:sz w:val="10"/>
      </w:rPr>
    </w:pPr>
    <w:r w:rsidRPr="00E845ED">
      <w:rPr>
        <w:color w:val="548DD4" w:themeColor="text2" w:themeTint="99"/>
        <w:sz w:val="10"/>
      </w:rPr>
      <w:t>The Public Sector Advisory Firm</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57DC" w14:textId="77777777" w:rsidR="00AA70B0" w:rsidRDefault="00AA70B0" w:rsidP="00225669">
    <w:pPr>
      <w:pStyle w:val="Footer"/>
      <w:tabs>
        <w:tab w:val="clear" w:pos="4320"/>
        <w:tab w:val="clear" w:pos="8640"/>
        <w:tab w:val="center" w:pos="4678"/>
        <w:tab w:val="right" w:pos="9356"/>
      </w:tabs>
      <w:rPr>
        <w:sz w:val="20"/>
        <w:u w:val="single"/>
      </w:rPr>
    </w:pPr>
  </w:p>
  <w:p w14:paraId="42926771" w14:textId="77777777" w:rsidR="00AA70B0" w:rsidRDefault="00AA70B0" w:rsidP="00225669">
    <w:pPr>
      <w:pStyle w:val="Footer"/>
      <w:tabs>
        <w:tab w:val="clear" w:pos="4320"/>
        <w:tab w:val="clear" w:pos="8640"/>
        <w:tab w:val="center" w:pos="4678"/>
        <w:tab w:val="right" w:pos="9072"/>
      </w:tabs>
      <w:rPr>
        <w:sz w:val="20"/>
      </w:rPr>
    </w:pPr>
    <w:r w:rsidRPr="00E845ED">
      <w:rPr>
        <w:color w:val="548DD4" w:themeColor="text2" w:themeTint="99"/>
        <w:sz w:val="20"/>
      </w:rPr>
      <w:t>Nextier Advisory</w:t>
    </w:r>
    <w:r w:rsidRPr="006C10B5">
      <w:rPr>
        <w:sz w:val="20"/>
      </w:rPr>
      <w:tab/>
    </w:r>
    <w:r w:rsidRPr="006C10B5">
      <w:rPr>
        <w:rFonts w:cs="Times New Roman"/>
        <w:sz w:val="20"/>
      </w:rPr>
      <w:t xml:space="preserve">Page </w:t>
    </w:r>
    <w:r w:rsidRPr="006C10B5">
      <w:rPr>
        <w:rFonts w:cs="Times New Roman"/>
        <w:sz w:val="20"/>
      </w:rPr>
      <w:fldChar w:fldCharType="begin"/>
    </w:r>
    <w:r w:rsidRPr="006C10B5">
      <w:rPr>
        <w:rFonts w:cs="Times New Roman"/>
        <w:sz w:val="20"/>
      </w:rPr>
      <w:instrText xml:space="preserve"> PAGE </w:instrText>
    </w:r>
    <w:r w:rsidRPr="006C10B5">
      <w:rPr>
        <w:rFonts w:cs="Times New Roman"/>
        <w:sz w:val="20"/>
      </w:rPr>
      <w:fldChar w:fldCharType="separate"/>
    </w:r>
    <w:r w:rsidR="00185A4C">
      <w:rPr>
        <w:rFonts w:cs="Times New Roman"/>
        <w:noProof/>
        <w:sz w:val="20"/>
      </w:rPr>
      <w:t>49</w:t>
    </w:r>
    <w:r w:rsidRPr="006C10B5">
      <w:rPr>
        <w:rFonts w:cs="Times New Roman"/>
        <w:sz w:val="20"/>
      </w:rPr>
      <w:fldChar w:fldCharType="end"/>
    </w:r>
    <w:r w:rsidRPr="006C10B5">
      <w:rPr>
        <w:sz w:val="20"/>
      </w:rPr>
      <w:tab/>
    </w:r>
    <w:r>
      <w:rPr>
        <w:sz w:val="20"/>
      </w:rPr>
      <w:t xml:space="preserve">December </w:t>
    </w:r>
    <w:r w:rsidRPr="006C10B5">
      <w:rPr>
        <w:sz w:val="20"/>
      </w:rPr>
      <w:t>2015</w:t>
    </w:r>
  </w:p>
  <w:p w14:paraId="05972FB3" w14:textId="77777777" w:rsidR="00AA70B0" w:rsidRPr="00225669" w:rsidRDefault="00AA70B0" w:rsidP="00225669">
    <w:pPr>
      <w:pStyle w:val="Footer"/>
      <w:tabs>
        <w:tab w:val="clear" w:pos="4320"/>
        <w:tab w:val="clear" w:pos="8640"/>
        <w:tab w:val="center" w:pos="4678"/>
        <w:tab w:val="right" w:pos="9356"/>
      </w:tabs>
      <w:rPr>
        <w:color w:val="548DD4" w:themeColor="text2" w:themeTint="99"/>
        <w:sz w:val="10"/>
      </w:rPr>
    </w:pPr>
    <w:r w:rsidRPr="00E845ED">
      <w:rPr>
        <w:color w:val="548DD4" w:themeColor="text2" w:themeTint="99"/>
        <w:sz w:val="10"/>
      </w:rPr>
      <w:t>The Public Sector Advisory Firm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51F12" w14:textId="77777777" w:rsidR="00AA70B0" w:rsidRDefault="00AA70B0" w:rsidP="001972A8">
      <w:r>
        <w:separator/>
      </w:r>
    </w:p>
  </w:footnote>
  <w:footnote w:type="continuationSeparator" w:id="0">
    <w:p w14:paraId="46D3BB7D" w14:textId="77777777" w:rsidR="00AA70B0" w:rsidRDefault="00AA70B0" w:rsidP="001972A8">
      <w:r>
        <w:continuationSeparator/>
      </w:r>
    </w:p>
  </w:footnote>
  <w:footnote w:id="1">
    <w:p w14:paraId="6F2BE0BE"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The 9 oil producing states in the Niger Delta include; Abia, Akwa Ibom, Bayelsa, Cross River, Delta, Edo, Imo, Ondo, and Rivers.</w:t>
      </w:r>
    </w:p>
  </w:footnote>
  <w:footnote w:id="2">
    <w:p w14:paraId="0159BE7B"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sz w:val="18"/>
          <w:szCs w:val="18"/>
        </w:rPr>
        <w:footnoteRef/>
      </w:r>
      <w:r w:rsidRPr="00B82841">
        <w:rPr>
          <w:rFonts w:ascii="Arial Narrow" w:hAnsi="Arial Narrow" w:cs="Arial"/>
          <w:sz w:val="18"/>
          <w:szCs w:val="18"/>
          <w:lang w:val="en-US"/>
        </w:rPr>
        <w:t>Paul Francis, Deirdre Lapin &amp; Paula Rossiasco, (2011) “Securing Development and Peace in the Niger Delta”, A Social and Conflict Analysis for Change, [Online] pp.11. Available from:</w:t>
      </w:r>
      <w:hyperlink r:id="rId1" w:history="1">
        <w:r w:rsidRPr="00B82841">
          <w:rPr>
            <w:rStyle w:val="Hyperlink"/>
            <w:rFonts w:ascii="Arial Narrow" w:hAnsi="Arial Narrow" w:cs="Arial"/>
            <w:sz w:val="18"/>
            <w:szCs w:val="18"/>
            <w:lang w:val="en-US"/>
          </w:rPr>
          <w:t>http://www.wilsoncenter.org/sites/default/files/AFR_110929_Niger%20Delta_0113.pdf</w:t>
        </w:r>
      </w:hyperlink>
      <w:r w:rsidRPr="00B82841">
        <w:rPr>
          <w:rFonts w:ascii="Arial Narrow" w:hAnsi="Arial Narrow" w:cs="Arial"/>
          <w:sz w:val="18"/>
          <w:szCs w:val="18"/>
          <w:lang w:val="en-US"/>
        </w:rPr>
        <w:t xml:space="preserve"> [Accessed: 22</w:t>
      </w:r>
      <w:r w:rsidRPr="00B82841">
        <w:rPr>
          <w:rFonts w:ascii="Arial Narrow" w:hAnsi="Arial Narrow" w:cs="Arial"/>
          <w:sz w:val="18"/>
          <w:szCs w:val="18"/>
          <w:vertAlign w:val="superscript"/>
          <w:lang w:val="en-US"/>
        </w:rPr>
        <w:t>nd</w:t>
      </w:r>
      <w:r w:rsidRPr="00B82841">
        <w:rPr>
          <w:rFonts w:ascii="Arial Narrow" w:hAnsi="Arial Narrow" w:cs="Arial"/>
          <w:sz w:val="18"/>
          <w:szCs w:val="18"/>
          <w:lang w:val="en-US"/>
        </w:rPr>
        <w:t xml:space="preserve"> October 2015]</w:t>
      </w:r>
    </w:p>
  </w:footnote>
  <w:footnote w:id="3">
    <w:p w14:paraId="6AED260F"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r w:rsidRPr="00B82841">
        <w:rPr>
          <w:rFonts w:ascii="Arial Narrow" w:hAnsi="Arial Narrow"/>
          <w:sz w:val="18"/>
          <w:szCs w:val="18"/>
          <w:lang w:val="en-US"/>
        </w:rPr>
        <w:t>SAHARA REPORTERS (2015). “President Buhari would be Right if He Said 250,000 Barrels of Crude Oil is Stolen per Day in Nigeria.” [Online] Available at:</w:t>
      </w:r>
      <w:r w:rsidRPr="00B82841">
        <w:rPr>
          <w:rFonts w:ascii="Arial Narrow" w:hAnsi="Arial Narrow"/>
          <w:sz w:val="18"/>
          <w:szCs w:val="18"/>
        </w:rPr>
        <w:t xml:space="preserve"> </w:t>
      </w:r>
      <w:hyperlink r:id="rId2" w:history="1">
        <w:r w:rsidRPr="00B82841">
          <w:rPr>
            <w:rStyle w:val="Hyperlink"/>
            <w:rFonts w:ascii="Arial Narrow" w:hAnsi="Arial Narrow"/>
            <w:sz w:val="18"/>
            <w:szCs w:val="18"/>
            <w:lang w:val="en-US"/>
          </w:rPr>
          <w:t>http://saharareporters.com/2015/09/10/president-buhari-would-be-right-if-he-said-250000-barrels-crude-oil-stolen-day-nigeria</w:t>
        </w:r>
      </w:hyperlink>
      <w:r w:rsidRPr="00B82841">
        <w:rPr>
          <w:rFonts w:ascii="Arial Narrow" w:hAnsi="Arial Narrow"/>
          <w:sz w:val="18"/>
          <w:szCs w:val="18"/>
          <w:lang w:val="en-US"/>
        </w:rPr>
        <w:t xml:space="preserve"> [Accessed on: December 7th 2015]</w:t>
      </w:r>
    </w:p>
  </w:footnote>
  <w:footnote w:id="4">
    <w:p w14:paraId="26DA0231"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cs="Arial"/>
          <w:sz w:val="18"/>
          <w:szCs w:val="18"/>
        </w:rPr>
        <w:t xml:space="preserve">International Crisis Group (2015). </w:t>
      </w:r>
      <w:r w:rsidRPr="00B82841">
        <w:rPr>
          <w:rFonts w:ascii="Arial Narrow" w:hAnsi="Arial Narrow" w:cs="Arial"/>
          <w:sz w:val="18"/>
          <w:szCs w:val="18"/>
          <w:lang w:val="en-US"/>
        </w:rPr>
        <w:t>Curbing Violence in Nigeria (III): Revisiting the Niger Delta. Africa Report No. 231, September 29, 2015</w:t>
      </w:r>
    </w:p>
  </w:footnote>
  <w:footnote w:id="5">
    <w:p w14:paraId="1492D0AB"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 xml:space="preserve">THISDAY LIVE (2015). “NEITI: IOC Report Shows Nigeria Lost $13.7 bn to Oil Theft in Four Year” [Online] Available at: </w:t>
      </w:r>
      <w:hyperlink r:id="rId3" w:history="1">
        <w:r w:rsidRPr="00B82841">
          <w:rPr>
            <w:rStyle w:val="Hyperlink"/>
            <w:rFonts w:ascii="Arial Narrow" w:hAnsi="Arial Narrow"/>
            <w:sz w:val="18"/>
            <w:szCs w:val="18"/>
            <w:lang w:val="en-US"/>
          </w:rPr>
          <w:t>http://www.thisdaylive.com/articles/neiti-ioc-reports-show-nigeria-lost-13-7bn-to-oil-theft-in-four-years/216405/</w:t>
        </w:r>
      </w:hyperlink>
      <w:r w:rsidRPr="00B82841">
        <w:rPr>
          <w:rFonts w:ascii="Arial Narrow" w:hAnsi="Arial Narrow"/>
          <w:sz w:val="18"/>
          <w:szCs w:val="18"/>
          <w:lang w:val="en-US"/>
        </w:rPr>
        <w:t>[Accessed on: October 22</w:t>
      </w:r>
      <w:r w:rsidRPr="00B82841">
        <w:rPr>
          <w:rFonts w:ascii="Arial Narrow" w:hAnsi="Arial Narrow"/>
          <w:sz w:val="18"/>
          <w:szCs w:val="18"/>
          <w:vertAlign w:val="superscript"/>
          <w:lang w:val="en-US"/>
        </w:rPr>
        <w:t>nd</w:t>
      </w:r>
      <w:r w:rsidRPr="00B82841">
        <w:rPr>
          <w:rFonts w:ascii="Arial Narrow" w:hAnsi="Arial Narrow"/>
          <w:sz w:val="18"/>
          <w:szCs w:val="18"/>
          <w:lang w:val="en-US"/>
        </w:rPr>
        <w:t xml:space="preserve"> 2015] </w:t>
      </w:r>
    </w:p>
  </w:footnote>
  <w:footnote w:id="6">
    <w:p w14:paraId="5F5BF2CE"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lang w:val="en-US"/>
        </w:rPr>
        <w:t>United Nations Development Programme (2006).“Niger Delta Human Development Report” [Online] Available at:</w:t>
      </w:r>
      <w:hyperlink r:id="rId4" w:history="1">
        <w:r w:rsidRPr="00B82841">
          <w:rPr>
            <w:rStyle w:val="Hyperlink"/>
            <w:rFonts w:ascii="Arial Narrow" w:hAnsi="Arial Narrow" w:cs="Arial"/>
            <w:sz w:val="18"/>
            <w:szCs w:val="18"/>
            <w:lang w:val="en-US"/>
          </w:rPr>
          <w:t>http://www.bebor.org/wp-content/uploads/2012/09/UNDP-Niger-Delta-Human-Development-Report.pdf</w:t>
        </w:r>
      </w:hyperlink>
      <w:r w:rsidRPr="00B82841">
        <w:rPr>
          <w:rFonts w:ascii="Arial Narrow" w:hAnsi="Arial Narrow" w:cs="Arial"/>
          <w:sz w:val="18"/>
          <w:szCs w:val="18"/>
          <w:lang w:val="en-US"/>
        </w:rPr>
        <w:t>. [Accessed on: September 20</w:t>
      </w:r>
      <w:r w:rsidRPr="00B82841">
        <w:rPr>
          <w:rFonts w:ascii="Arial Narrow" w:hAnsi="Arial Narrow" w:cs="Arial"/>
          <w:sz w:val="18"/>
          <w:szCs w:val="18"/>
          <w:vertAlign w:val="superscript"/>
          <w:lang w:val="en-US"/>
        </w:rPr>
        <w:t>th</w:t>
      </w:r>
      <w:r w:rsidRPr="00B82841">
        <w:rPr>
          <w:rFonts w:ascii="Arial Narrow" w:hAnsi="Arial Narrow" w:cs="Arial"/>
          <w:sz w:val="18"/>
          <w:szCs w:val="18"/>
          <w:lang w:val="en-US"/>
        </w:rPr>
        <w:t>2015].</w:t>
      </w:r>
    </w:p>
  </w:footnote>
  <w:footnote w:id="7">
    <w:p w14:paraId="657EBC00"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lang w:val="en-US"/>
        </w:rPr>
        <w:t>Oboreh J. Snapps &amp; Donald I. Hamilton, “Youth Restiveness and Industrial Disruption in the Niger Delta”, American Review of Political Economy, June 2011, pp. 18-32.</w:t>
      </w:r>
    </w:p>
  </w:footnote>
  <w:footnote w:id="8">
    <w:p w14:paraId="49FF2CCF"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lang w:val="en-US"/>
        </w:rPr>
        <w:t>Nextier analysis. (2015)</w:t>
      </w:r>
    </w:p>
  </w:footnote>
  <w:footnote w:id="9">
    <w:p w14:paraId="5D66CEC0" w14:textId="4BC14F86"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lang w:val="en-US"/>
        </w:rPr>
        <w:t xml:space="preserve">The </w:t>
      </w:r>
      <w:r w:rsidRPr="00B82841">
        <w:rPr>
          <w:rFonts w:ascii="Arial Narrow" w:hAnsi="Arial Narrow" w:cs="Arial"/>
          <w:dstrike/>
          <w:sz w:val="18"/>
          <w:szCs w:val="18"/>
          <w:lang w:val="en-US"/>
        </w:rPr>
        <w:t>N</w:t>
      </w:r>
      <w:r w:rsidR="00E53EA1">
        <w:rPr>
          <w:rFonts w:ascii="Arial Narrow" w:hAnsi="Arial Narrow" w:cs="Arial"/>
          <w:sz w:val="18"/>
          <w:szCs w:val="18"/>
          <w:lang w:val="en-US"/>
        </w:rPr>
        <w:t>7.3</w:t>
      </w:r>
      <w:r w:rsidRPr="00B82841">
        <w:rPr>
          <w:rFonts w:ascii="Arial Narrow" w:hAnsi="Arial Narrow" w:cs="Arial"/>
          <w:sz w:val="18"/>
          <w:szCs w:val="18"/>
          <w:lang w:val="en-US"/>
        </w:rPr>
        <w:t>5 trillion is almost equivalent to the sum of Nigeria’s national budget for 2013 and 2014.</w:t>
      </w:r>
    </w:p>
  </w:footnote>
  <w:footnote w:id="10">
    <w:p w14:paraId="4C167584"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rPr>
        <w:t>Primary school completion rate decreased from 107.5 percent in 2011 to about 83.11 percent in 2014. Infant mortality rate increased from 51.9 percent in 2011 to about 57.7 percent in 2014, access to improved sources of drinking water decreased from 68.71 percent in 2011 to about 28.4 percent in 2014. In 2013, poverty rate for the South-South region (6 out of the 9 states in the Niger Delta) was 24.4 percent. In the same year, 11.2 percent of the population in the South-South reported food inadequacy.</w:t>
      </w:r>
    </w:p>
  </w:footnote>
  <w:footnote w:id="11">
    <w:p w14:paraId="14A713A9"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http://www.eni.it/english/mondo/pdf/naoc_eng.pdf</w:t>
      </w:r>
    </w:p>
  </w:footnote>
  <w:footnote w:id="12">
    <w:p w14:paraId="68A9F18A"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Organization of Petroleum Exporting Countries (OPEC) 2015 OPEC Annual Statistical Bulletin, Vienna: OPEC, 2015.</w:t>
      </w:r>
    </w:p>
  </w:footnote>
  <w:footnote w:id="13">
    <w:p w14:paraId="4A85B868" w14:textId="374002FA"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International Institute for Democracy and Electoral Assistance (IDEA) Democracy in Nigeria: Continuing Dialogue(s) for Nation-Building, Stockholm: International Institute for Democracy and Electoral Assistance, 2000.</w:t>
      </w:r>
    </w:p>
  </w:footnote>
  <w:footnote w:id="14">
    <w:p w14:paraId="4E36FE78" w14:textId="2723E8DF"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hyperlink r:id="rId5" w:history="1">
        <w:r w:rsidRPr="00B82841">
          <w:rPr>
            <w:rStyle w:val="Hyperlink"/>
            <w:rFonts w:ascii="Arial Narrow" w:hAnsi="Arial Narrow"/>
            <w:sz w:val="18"/>
            <w:szCs w:val="18"/>
          </w:rPr>
          <w:t>http://www.wds.worldbank.org/servlet/WDSContentServer/WDSP/IB/2000/11/10/000094946_00082605382641/ Rendered/INDEX/multi_page.txt</w:t>
        </w:r>
      </w:hyperlink>
    </w:p>
  </w:footnote>
  <w:footnote w:id="15">
    <w:p w14:paraId="47BD72E4"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John D. and Catherine T. MacArthur Foundation ‘A framework for confidence building and change in the Niger Delta’, Chicago, 2003 (mimeo).</w:t>
      </w:r>
    </w:p>
  </w:footnote>
  <w:footnote w:id="16">
    <w:p w14:paraId="0D292FB9" w14:textId="6B0BAA2E"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On April 9, 2001 the federal government went to the Supreme Court asking for clarification of section 162 (2) of the 1999 constitution requesting among other things a declaration that petroleum resources in Nigeria’s territorial waters are federally derived. In April 2002, the Supreme Court agreed with the federal government, thus further reducing the revenues of littoral oil producing states. A bill sponsored by the President and passed by the National Assembly in October 2002 abolished the onshore-offshore distinction. However, the President vetoed the bill over disagreement with the National Assembly on what constitutes “offshore”. In December 2002, Northern elders led by the Emir of Kano joined the fray, warning Northern members of the National Assembly not to override the President’s veto because the abolition of the onshore-offshore dichotomy is not in the interest of the North. All these point to the complex and intractable nature of the political economy of oil revenues in Nigeria.</w:t>
      </w:r>
    </w:p>
  </w:footnote>
  <w:footnote w:id="17">
    <w:p w14:paraId="5F3D543D" w14:textId="7CBDDF0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Robin Luckham and Okechukwu Ibeanu ‘Nigeria: Military rule, democratization, conflict and corporate responsibility in a petro-state’, discussion paper for the meeting on ‘Oil and Conflict’, Bellagio, Italy, November 18-22 2002</w:t>
      </w:r>
    </w:p>
  </w:footnote>
  <w:footnote w:id="18">
    <w:p w14:paraId="4D843A97"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See Terry Karl Paradox of Plenty, Berkeley, California: University of California Press, 1997.</w:t>
      </w:r>
    </w:p>
  </w:footnote>
  <w:footnote w:id="19">
    <w:p w14:paraId="64C89AEE"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The NNPC is the sole government agency overseeing the petroleum sector. It currently has the following wholly-owned subsidiaries: National Petroleum Investment Management Services (NAPIMS), Duke Oil Limited, Eleme Petrochemicals Company Limited, Integrated Data Services Limited, Kaduna Refining and Petrochemicals Limited, National Engineering and Technical Company, Nigerian Gas Company Limited, Nigerian Petroleum Development Company Limited, Pipelines and Products Marketing Company Limited, Port Harcourt Refining and Petrochemicals Company Limited, Warri Refining and Petrochemicals Company Limited. It also has two partly owned subsidiaries – Calson (Bermuda) Limited and Hydrocarbon Services of Nigeria Limited. In terms of control of oil revenues, the NNPC works with the Central Bank of Nigeria (CBN) and the Federal Inland Revenue Service (FIRS)</w:t>
      </w:r>
    </w:p>
  </w:footnote>
  <w:footnote w:id="20">
    <w:p w14:paraId="7EEC81C3"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Nigeria Liquefied Natural Gas Limited, LNG from Nigeria, London: Nigeria LNG Limited, 1997.</w:t>
      </w:r>
    </w:p>
  </w:footnote>
  <w:footnote w:id="21">
    <w:p w14:paraId="523B05DB"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Nigeria at independence in 1960 started as a federation of three Regions. In 1964 a fourth region was created. Since then, the component units of the federation, called States since 1967, have increased from twelve to thirty-six. At the same time, the thirty-six States are composed of 774 constitutionally recognized Local Government Areas. The States and Local Governments are the basis of sharing revenue.</w:t>
      </w:r>
    </w:p>
  </w:footnote>
  <w:footnote w:id="22">
    <w:p w14:paraId="3D5C91AE"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See Okechukwu Ibeanu ‘Ogoni – oil, resource flow and conflict’ in Granfelt, T. (ed) Managing the Globalized Environment, London: Intermediate Technology Publications, 1999, and ‘Oiling the friction: environmental conflict management in the Niger Delta, Nigeria’, Environmental Change and Security Project Report, The Woodrow Wilson International Centre for Scholars, Washington, D.C., Issue 6, Summer, 2000</w:t>
      </w:r>
    </w:p>
  </w:footnote>
  <w:footnote w:id="23">
    <w:p w14:paraId="234D8200"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Section 162(2) of the 1999 Constitution provides for a minimum of 13% of revenue to return to oil producing states by derivation. The resource control question came to a head at the National Political Reform Conference (NPRC) that held in 2005. The conference was as a compromise between the longstanding demand for a Sovereign National Conference and the resistance of the Obasanjo government to any conference at all. The NPRC disbanded before it concluded its assignment over disagreement between the demand of 25% derivation by the Niger Delta States and the offer of 17% by the other States. </w:t>
      </w:r>
    </w:p>
  </w:footnote>
  <w:footnote w:id="24">
    <w:p w14:paraId="6F80FFE8"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The Supreme Court finally dismissed the case in 2005.</w:t>
      </w:r>
    </w:p>
  </w:footnote>
  <w:footnote w:id="25">
    <w:p w14:paraId="42E6532E"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After the Assembly passed the bill, President Obasanjo withheld accent leading to threats that the Assembly would override his veto and force the bill to become operational.</w:t>
      </w:r>
    </w:p>
  </w:footnote>
  <w:footnote w:id="26">
    <w:p w14:paraId="1911D4C5"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Olalekan Adetayo ‘NDDC can’t justify its huge allocations – Jonathan’ Punch Newspaper, December 17, 2013.</w:t>
      </w:r>
    </w:p>
  </w:footnote>
  <w:footnote w:id="27">
    <w:p w14:paraId="5C1C40DD"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Earthaction ‘Defend the Ogoni people in Nigeria’, Alert, No. 3, 1994.</w:t>
      </w:r>
    </w:p>
  </w:footnote>
  <w:footnote w:id="28">
    <w:p w14:paraId="42F13A13"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Batom Mitee ‘The social-cultural impact of oil exploration on an indigenous people: the Ogoni case’, paper presented at the international symposium on Economic, Social and Cultural Rights among the Sami, the Maasai and the Ogoni, University of Lapland, Rovaniemi, Finland, 12 - 14 September, 1997, pp. 6 - 9.</w:t>
      </w:r>
    </w:p>
  </w:footnote>
  <w:footnote w:id="29">
    <w:p w14:paraId="2EAFFF28" w14:textId="10A51312"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NEITI ‘Nigeria Extractive Industry Transparency Initiative: Financial Audit – Interim Report on Financial Flows 2003 and 2004’, (Hart Report) 8</w:t>
      </w:r>
      <w:r w:rsidRPr="00B82841">
        <w:rPr>
          <w:rFonts w:ascii="Arial Narrow" w:hAnsi="Arial Narrow"/>
          <w:sz w:val="18"/>
          <w:szCs w:val="18"/>
          <w:vertAlign w:val="superscript"/>
        </w:rPr>
        <w:t>th</w:t>
      </w:r>
      <w:r w:rsidRPr="00B82841">
        <w:rPr>
          <w:rFonts w:ascii="Arial Narrow" w:hAnsi="Arial Narrow"/>
          <w:sz w:val="18"/>
          <w:szCs w:val="18"/>
        </w:rPr>
        <w:t xml:space="preserve"> January 2006. </w:t>
      </w:r>
      <w:hyperlink r:id="rId6" w:history="1">
        <w:r w:rsidRPr="00B82841">
          <w:rPr>
            <w:rStyle w:val="Hyperlink"/>
            <w:rFonts w:ascii="Arial Narrow" w:hAnsi="Arial Narrow"/>
            <w:sz w:val="18"/>
            <w:szCs w:val="18"/>
          </w:rPr>
          <w:t>www.neiti.org/</w:t>
        </w:r>
      </w:hyperlink>
      <w:r w:rsidRPr="00B82841">
        <w:rPr>
          <w:rFonts w:ascii="Arial Narrow" w:hAnsi="Arial Narrow"/>
          <w:sz w:val="18"/>
          <w:szCs w:val="18"/>
        </w:rPr>
        <w:t>. p.26.</w:t>
      </w:r>
    </w:p>
  </w:footnote>
  <w:footnote w:id="30">
    <w:p w14:paraId="30DC7980"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 xml:space="preserve">Nnimmo Bassey ‘The Hydro Carbons Pollution Restoration Project hype’, </w:t>
      </w:r>
      <w:hyperlink r:id="rId7" w:history="1">
        <w:r w:rsidRPr="00B82841">
          <w:rPr>
            <w:rStyle w:val="Hyperlink"/>
            <w:rFonts w:ascii="Arial Narrow" w:hAnsi="Arial Narrow"/>
            <w:sz w:val="18"/>
            <w:szCs w:val="18"/>
            <w:lang w:val="en-US"/>
          </w:rPr>
          <w:t>http://nnimmo.blogspot.com.ng/2012/08/the-hyprep-hype.html</w:t>
        </w:r>
      </w:hyperlink>
      <w:r w:rsidRPr="00B82841">
        <w:rPr>
          <w:rFonts w:ascii="Arial Narrow" w:hAnsi="Arial Narrow"/>
          <w:sz w:val="18"/>
          <w:szCs w:val="18"/>
          <w:lang w:val="en-US"/>
        </w:rPr>
        <w:t xml:space="preserve"> [Accessed 25th September 2015].</w:t>
      </w:r>
    </w:p>
  </w:footnote>
  <w:footnote w:id="31">
    <w:p w14:paraId="152DE06B"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Ibid.</w:t>
      </w:r>
    </w:p>
  </w:footnote>
  <w:footnote w:id="32">
    <w:p w14:paraId="1C073633"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Ibid</w:t>
      </w:r>
    </w:p>
  </w:footnote>
  <w:footnote w:id="33">
    <w:p w14:paraId="5BB70763"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See Karl Maier, This House Has Fallen: Nigeria in Crisis, London: Penguin Books (2000), p. 135.</w:t>
      </w:r>
    </w:p>
  </w:footnote>
  <w:footnote w:id="34">
    <w:p w14:paraId="17A33809"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I am particularly grateful to Michelle Leighton and Emeka Durigbo of the Natural Heritage Institute, Berkeley, California for their insights on community trust funds and for some of the materials used in this section.</w:t>
      </w:r>
    </w:p>
  </w:footnote>
  <w:footnote w:id="35">
    <w:p w14:paraId="6BA9674A" w14:textId="5FBEAFCD"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Open Society Institute ‘Caspian O</w:t>
      </w:r>
      <w:r>
        <w:rPr>
          <w:rFonts w:ascii="Arial Narrow" w:hAnsi="Arial Narrow"/>
          <w:sz w:val="18"/>
          <w:szCs w:val="18"/>
        </w:rPr>
        <w:t>il Windfalls: Who Will Benefit?</w:t>
      </w:r>
      <w:r w:rsidRPr="00B82841">
        <w:rPr>
          <w:rFonts w:ascii="Arial Narrow" w:hAnsi="Arial Narrow"/>
          <w:sz w:val="18"/>
          <w:szCs w:val="18"/>
        </w:rPr>
        <w:t xml:space="preserve"> Overview and Recommendations’, NY:</w:t>
      </w:r>
      <w:r>
        <w:rPr>
          <w:rFonts w:ascii="Arial Narrow" w:hAnsi="Arial Narrow"/>
          <w:sz w:val="18"/>
          <w:szCs w:val="18"/>
        </w:rPr>
        <w:t xml:space="preserve"> Herlin Press Inc., 2003, pp. 9-10</w:t>
      </w:r>
    </w:p>
  </w:footnote>
  <w:footnote w:id="36">
    <w:p w14:paraId="2DD807D3" w14:textId="77777777"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The figures represented above for the MDG and Ecological funds are prorated on equal basis given the inability to secure the breakdown that is attributed to each state.</w:t>
      </w:r>
    </w:p>
  </w:footnote>
  <w:footnote w:id="37">
    <w:p w14:paraId="53B0FFBE" w14:textId="375BE01F"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Total is for 3 years from 2012-2014. It is assumed that NNPC paid these </w:t>
      </w:r>
      <w:r>
        <w:rPr>
          <w:rFonts w:ascii="Arial Narrow" w:hAnsi="Arial Narrow"/>
          <w:sz w:val="18"/>
          <w:szCs w:val="18"/>
        </w:rPr>
        <w:t>moneys</w:t>
      </w:r>
      <w:r w:rsidRPr="00B82841">
        <w:rPr>
          <w:rFonts w:ascii="Arial Narrow" w:hAnsi="Arial Narrow"/>
          <w:sz w:val="18"/>
          <w:szCs w:val="18"/>
        </w:rPr>
        <w:t xml:space="preserve"> (US$38.6 million (</w:t>
      </w:r>
      <w:r w:rsidRPr="00B82841">
        <w:rPr>
          <w:rFonts w:ascii="Arial Narrow" w:hAnsi="Arial Narrow" w:cs="Arial"/>
          <w:dstrike/>
          <w:sz w:val="18"/>
          <w:szCs w:val="18"/>
          <w:lang w:val="en-US"/>
        </w:rPr>
        <w:t>N</w:t>
      </w:r>
      <w:r w:rsidRPr="00B82841">
        <w:rPr>
          <w:rFonts w:ascii="Arial Narrow" w:hAnsi="Arial Narrow"/>
          <w:sz w:val="18"/>
          <w:szCs w:val="18"/>
        </w:rPr>
        <w:t>7.6 billion)) annually</w:t>
      </w:r>
    </w:p>
  </w:footnote>
  <w:footnote w:id="38">
    <w:p w14:paraId="485010E9" w14:textId="77777777"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r w:rsidRPr="00B82841">
        <w:rPr>
          <w:rFonts w:ascii="Arial Narrow" w:hAnsi="Arial Narrow"/>
          <w:sz w:val="18"/>
          <w:szCs w:val="18"/>
          <w:lang w:val="en-US"/>
        </w:rPr>
        <w:t xml:space="preserve">THE WALL STREET JOURNAL (2012).“Nigeria’s Former Oil Bandits now Collect Government Cash” [Online] (Available at: </w:t>
      </w:r>
      <w:hyperlink r:id="rId8" w:history="1">
        <w:r w:rsidRPr="00B82841">
          <w:rPr>
            <w:rStyle w:val="Hyperlink"/>
            <w:rFonts w:ascii="Arial Narrow" w:hAnsi="Arial Narrow"/>
            <w:sz w:val="18"/>
            <w:szCs w:val="18"/>
            <w:lang w:val="en-US"/>
          </w:rPr>
          <w:t>http://www.wsj.com/articles/SB10001424052702304019404577420160886588518</w:t>
        </w:r>
      </w:hyperlink>
      <w:r w:rsidRPr="00B82841">
        <w:rPr>
          <w:rFonts w:ascii="Arial Narrow" w:hAnsi="Arial Narrow"/>
          <w:sz w:val="18"/>
          <w:szCs w:val="18"/>
          <w:lang w:val="en-US"/>
        </w:rPr>
        <w:t xml:space="preserve">) </w:t>
      </w:r>
    </w:p>
  </w:footnote>
  <w:footnote w:id="39">
    <w:p w14:paraId="42A5A245" w14:textId="77777777"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International Crisis Group (2015). Curbing Violence in Nigeria (III): Revisiting the Niger Delta Africa Report No. 231, October 29,2015</w:t>
      </w:r>
    </w:p>
  </w:footnote>
  <w:footnote w:id="40">
    <w:p w14:paraId="674F12EC" w14:textId="77777777" w:rsidR="00AA70B0" w:rsidRPr="00B82841" w:rsidRDefault="00AA70B0" w:rsidP="000C13BE">
      <w:pPr>
        <w:pStyle w:val="FootnoteText"/>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r w:rsidRPr="00B82841">
        <w:rPr>
          <w:rFonts w:ascii="Arial Narrow" w:hAnsi="Arial Narrow" w:cs="Arial"/>
          <w:sz w:val="18"/>
          <w:szCs w:val="18"/>
          <w:lang w:val="en-US"/>
        </w:rPr>
        <w:t>All calculations are shown in the annex section of this report</w:t>
      </w:r>
    </w:p>
  </w:footnote>
  <w:footnote w:id="41">
    <w:p w14:paraId="1D4423BD"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Bassey Udo (2015). NDDC Diverts N183bn of Niger Delta Development Money, Auditor General Insists. The Premium Times News, August 19, 2015. Available at: &lt;</w:t>
      </w:r>
      <w:hyperlink r:id="rId9" w:history="1">
        <w:r w:rsidRPr="00B82841">
          <w:rPr>
            <w:rStyle w:val="Hyperlink"/>
            <w:rFonts w:ascii="Arial Narrow" w:hAnsi="Arial Narrow"/>
            <w:sz w:val="18"/>
            <w:szCs w:val="18"/>
          </w:rPr>
          <w:t>http://www.premiumtimesng.com/news/headlines/188697-nddc-diverted-n183bn-niger-delta-development-money-auditor-general-insists.html</w:t>
        </w:r>
      </w:hyperlink>
      <w:r w:rsidRPr="00B82841">
        <w:rPr>
          <w:rFonts w:ascii="Arial Narrow" w:hAnsi="Arial Narrow"/>
          <w:sz w:val="18"/>
          <w:szCs w:val="18"/>
        </w:rPr>
        <w:t>&gt;. (Updated August 19, 2015; accessed December 9, 2015)</w:t>
      </w:r>
    </w:p>
  </w:footnote>
  <w:footnote w:id="42">
    <w:p w14:paraId="787B139F"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NBS (2010) Medium Term Implementation Plan (2010-2013). Available at </w:t>
      </w:r>
      <w:hyperlink r:id="rId10" w:history="1">
        <w:r w:rsidRPr="00B82841">
          <w:rPr>
            <w:rStyle w:val="Hyperlink"/>
            <w:rFonts w:ascii="Arial Narrow" w:hAnsi="Arial Narrow"/>
            <w:sz w:val="18"/>
            <w:szCs w:val="18"/>
            <w:shd w:val="clear" w:color="auto" w:fill="F5F5F5"/>
          </w:rPr>
          <w:t>http://www.nigerianstat.gov.ng/pages/download/60</w:t>
        </w:r>
      </w:hyperlink>
      <w:r w:rsidRPr="00B82841">
        <w:rPr>
          <w:rFonts w:ascii="Arial Narrow" w:hAnsi="Arial Narrow" w:cs="Arial"/>
          <w:color w:val="202020"/>
          <w:sz w:val="18"/>
          <w:szCs w:val="18"/>
          <w:shd w:val="clear" w:color="auto" w:fill="F5F5F5"/>
        </w:rPr>
        <w:t>. (Updated December 12, 2010; accessed December 9, 2015)</w:t>
      </w:r>
    </w:p>
  </w:footnote>
  <w:footnote w:id="43">
    <w:p w14:paraId="4BEA08AF"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r w:rsidRPr="00B82841">
        <w:rPr>
          <w:rStyle w:val="FootnoteReference"/>
          <w:rFonts w:ascii="Arial Narrow" w:hAnsi="Arial Narrow"/>
          <w:sz w:val="18"/>
          <w:szCs w:val="18"/>
        </w:rPr>
        <w:footnoteRef/>
      </w:r>
      <w:r w:rsidRPr="00B82841">
        <w:rPr>
          <w:rFonts w:ascii="Arial Narrow" w:hAnsi="Arial Narrow"/>
          <w:sz w:val="18"/>
          <w:szCs w:val="18"/>
        </w:rPr>
        <w:t xml:space="preserve"> NEITI (2013). Revenues, Deductions, Analysis of Disbursement and Application of Funds by Niger Delta Development Commission. Available at: </w:t>
      </w:r>
      <w:hyperlink r:id="rId11" w:history="1">
        <w:r w:rsidRPr="00B82841">
          <w:rPr>
            <w:rStyle w:val="Hyperlink"/>
            <w:rFonts w:ascii="Arial Narrow" w:hAnsi="Arial Narrow"/>
            <w:sz w:val="18"/>
            <w:szCs w:val="18"/>
          </w:rPr>
          <w:t>http://www.neiti.org.ng/sites/default/files/pdf_uploads/NEITI-FASD-Audit-Report-2007-2011/Beneficiary-Agencies-Reports/NDDC-300614.pdf</w:t>
        </w:r>
      </w:hyperlink>
      <w:r w:rsidRPr="00B82841">
        <w:rPr>
          <w:rFonts w:ascii="Arial Narrow" w:hAnsi="Arial Narrow"/>
          <w:sz w:val="18"/>
          <w:szCs w:val="18"/>
        </w:rPr>
        <w:t>. (Updated August 2013; accessed December 9, 2015)</w:t>
      </w:r>
    </w:p>
  </w:footnote>
  <w:footnote w:id="44">
    <w:p w14:paraId="0F5FC092"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lang w:val="fr-FR"/>
        </w:rPr>
        <w:t xml:space="preserve"> Uche O.A. et al (2014). </w:t>
      </w:r>
      <w:r w:rsidRPr="00B82841">
        <w:rPr>
          <w:rFonts w:ascii="Arial Narrow" w:hAnsi="Arial Narrow"/>
          <w:sz w:val="18"/>
          <w:szCs w:val="18"/>
        </w:rPr>
        <w:t xml:space="preserve">Sustainable Community Development: An Insight Into the Niger Delta Development Commission (NDDC) Community Development Projects in Abia State. Available at: </w:t>
      </w:r>
      <w:hyperlink r:id="rId12" w:history="1">
        <w:r w:rsidRPr="00B82841">
          <w:rPr>
            <w:rStyle w:val="Hyperlink"/>
            <w:rFonts w:ascii="Arial Narrow" w:hAnsi="Arial Narrow"/>
            <w:sz w:val="18"/>
            <w:szCs w:val="18"/>
            <w:shd w:val="clear" w:color="auto" w:fill="F5F5F5"/>
          </w:rPr>
          <w:t>http://garj.org/full-articles/sustainable-community-development-an-insight-into-the-niger-delta-development-commission-nddc-community-development-projects-in-abia-state.pdf?view=download</w:t>
        </w:r>
      </w:hyperlink>
      <w:r w:rsidRPr="00B82841">
        <w:rPr>
          <w:rFonts w:ascii="Arial Narrow" w:hAnsi="Arial Narrow" w:cs="Arial"/>
          <w:color w:val="202020"/>
          <w:sz w:val="18"/>
          <w:szCs w:val="18"/>
          <w:shd w:val="clear" w:color="auto" w:fill="F5F5F5"/>
        </w:rPr>
        <w:t xml:space="preserve">. </w:t>
      </w:r>
      <w:r w:rsidRPr="00B82841">
        <w:rPr>
          <w:rFonts w:ascii="Arial Narrow" w:hAnsi="Arial Narrow"/>
          <w:sz w:val="18"/>
          <w:szCs w:val="18"/>
        </w:rPr>
        <w:t>(Updated December 15, 2014; accessed December 9, 2015)</w:t>
      </w:r>
    </w:p>
  </w:footnote>
  <w:footnote w:id="45">
    <w:p w14:paraId="676B54E3"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Mwangi S. K. et al (2014). Analysis of Community-Driven Development in Nigeria’s Niger Delta Region. Available at: </w:t>
      </w:r>
      <w:hyperlink r:id="rId13" w:history="1">
        <w:r w:rsidRPr="00B82841">
          <w:rPr>
            <w:rStyle w:val="Hyperlink"/>
            <w:rFonts w:ascii="Arial Narrow" w:hAnsi="Arial Narrow"/>
            <w:sz w:val="18"/>
            <w:szCs w:val="18"/>
          </w:rPr>
          <w:t>http://www.ndpifoundation.org/images/researchreports/reports/Analysis-of-Community-Driven-Development-in-Nigerias-Niger-Delta-Region.pdf</w:t>
        </w:r>
      </w:hyperlink>
      <w:r w:rsidRPr="00B82841">
        <w:rPr>
          <w:rFonts w:ascii="Arial Narrow" w:hAnsi="Arial Narrow"/>
          <w:sz w:val="18"/>
          <w:szCs w:val="18"/>
        </w:rPr>
        <w:t xml:space="preserve"> (Updated May 2014; accessed December 9, 2015)</w:t>
      </w:r>
    </w:p>
  </w:footnote>
  <w:footnote w:id="46">
    <w:p w14:paraId="1BA47CFB"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Pardoning Impunity (2013). Citizens’ Report on State and Local Government Budgets in the Niger Delta. Available at: &lt;</w:t>
      </w:r>
      <w:hyperlink r:id="rId14" w:history="1">
        <w:r w:rsidRPr="00B82841">
          <w:rPr>
            <w:rStyle w:val="Hyperlink"/>
            <w:rFonts w:ascii="Arial Narrow" w:hAnsi="Arial Narrow"/>
            <w:sz w:val="18"/>
            <w:szCs w:val="18"/>
          </w:rPr>
          <w:t>http://saction.org/books/Pardoning_Impunity.pdf</w:t>
        </w:r>
      </w:hyperlink>
      <w:r w:rsidRPr="00B82841">
        <w:rPr>
          <w:rFonts w:ascii="Arial Narrow" w:hAnsi="Arial Narrow"/>
          <w:sz w:val="18"/>
          <w:szCs w:val="18"/>
        </w:rPr>
        <w:t>&gt;. (Updated 2013; accessed December 9, 2015)</w:t>
      </w:r>
    </w:p>
  </w:footnote>
  <w:footnote w:id="47">
    <w:p w14:paraId="105B6DF9"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NEITI (2013). Revenues, Deductions, Analysis of Disbursement and Application of Funds by Niger Delta Development Commission. Available at: </w:t>
      </w:r>
      <w:hyperlink r:id="rId15" w:history="1">
        <w:r w:rsidRPr="00B82841">
          <w:rPr>
            <w:rStyle w:val="Hyperlink"/>
            <w:rFonts w:ascii="Arial Narrow" w:hAnsi="Arial Narrow"/>
            <w:sz w:val="18"/>
            <w:szCs w:val="18"/>
          </w:rPr>
          <w:t>http://www.neiti.org.ng/sites/default/files/pdf_uploads/NEITI-FASD-Audit-Report-2007-2011/Beneficiary-Agencies-Reports/NDDC-300614.pdf</w:t>
        </w:r>
      </w:hyperlink>
      <w:r w:rsidRPr="00B82841">
        <w:rPr>
          <w:rFonts w:ascii="Arial Narrow" w:hAnsi="Arial Narrow"/>
          <w:sz w:val="18"/>
          <w:szCs w:val="18"/>
        </w:rPr>
        <w:t>. (Updated August 2013; accessed December 9, 2015)</w:t>
      </w:r>
    </w:p>
  </w:footnote>
  <w:footnote w:id="48">
    <w:p w14:paraId="641873AA" w14:textId="77777777" w:rsidR="00AA70B0" w:rsidRPr="00B82841" w:rsidRDefault="00AA70B0" w:rsidP="006E50E8">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ibid</w:t>
      </w:r>
    </w:p>
  </w:footnote>
  <w:footnote w:id="49">
    <w:p w14:paraId="51ED6CF1"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ibid</w:t>
      </w:r>
    </w:p>
  </w:footnote>
  <w:footnote w:id="50">
    <w:p w14:paraId="11999F50"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Julia Hanson (2015) Corruption and NDDC. The Nation News, August 31, 2015. Available at: </w:t>
      </w:r>
      <w:hyperlink r:id="rId16" w:history="1">
        <w:r w:rsidRPr="00B82841">
          <w:rPr>
            <w:rStyle w:val="Hyperlink"/>
            <w:rFonts w:ascii="Arial Narrow" w:hAnsi="Arial Narrow"/>
            <w:sz w:val="18"/>
            <w:szCs w:val="18"/>
          </w:rPr>
          <w:t>http://thenationonlineng.net/corruption-and-nddc/</w:t>
        </w:r>
      </w:hyperlink>
      <w:r w:rsidRPr="00B82841">
        <w:rPr>
          <w:rFonts w:ascii="Arial Narrow" w:hAnsi="Arial Narrow"/>
          <w:sz w:val="18"/>
          <w:szCs w:val="18"/>
        </w:rPr>
        <w:t>. (Updated August 31, 2015; accessed December 9, 2015)</w:t>
      </w:r>
    </w:p>
  </w:footnote>
  <w:footnote w:id="51">
    <w:p w14:paraId="4F6F61A8"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NEITI (2013). Revenues, Deductions, Analysis of Disbursement and Application of Funds by Niger Delta Development Commission. Available at: </w:t>
      </w:r>
      <w:hyperlink r:id="rId17" w:history="1">
        <w:r w:rsidRPr="00B82841">
          <w:rPr>
            <w:rStyle w:val="Hyperlink"/>
            <w:rFonts w:ascii="Arial Narrow" w:hAnsi="Arial Narrow"/>
            <w:sz w:val="18"/>
            <w:szCs w:val="18"/>
          </w:rPr>
          <w:t>http://www.neiti.org.ng/sites/default/files/pdf_uploads/NEITI-FASD-Audit-Report-2007-2011/Beneficiary-Agencies-Reports/NDDC-300614.pdf</w:t>
        </w:r>
      </w:hyperlink>
      <w:r w:rsidRPr="00B82841">
        <w:rPr>
          <w:rFonts w:ascii="Arial Narrow" w:hAnsi="Arial Narrow"/>
          <w:sz w:val="18"/>
          <w:szCs w:val="18"/>
        </w:rPr>
        <w:t>. (Updated August 2013; accessed December 9, 2015)</w:t>
      </w:r>
    </w:p>
  </w:footnote>
  <w:footnote w:id="52">
    <w:p w14:paraId="05972065"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 xml:space="preserve">Michael Nwankpa, (2014). [Online] “The Politics of Amnesty in Nigeria; A Comparative Analysis of the Boko Haram and Niger Delta Insurgencies” Available from: </w:t>
      </w:r>
      <w:hyperlink r:id="rId18" w:history="1">
        <w:r w:rsidRPr="00B82841">
          <w:rPr>
            <w:rStyle w:val="Hyperlink"/>
            <w:rFonts w:ascii="Arial Narrow" w:hAnsi="Arial Narrow"/>
            <w:sz w:val="18"/>
            <w:szCs w:val="18"/>
            <w:lang w:val="en-US"/>
          </w:rPr>
          <w:t>http://ojs.st-andrews.ac.uk/index.php/jtr/article/view/830/709</w:t>
        </w:r>
      </w:hyperlink>
      <w:r w:rsidRPr="00B82841">
        <w:rPr>
          <w:rFonts w:ascii="Arial Narrow" w:hAnsi="Arial Narrow"/>
          <w:sz w:val="18"/>
          <w:szCs w:val="18"/>
          <w:lang w:val="en-US"/>
        </w:rPr>
        <w:t>.</w:t>
      </w:r>
    </w:p>
  </w:footnote>
  <w:footnote w:id="53">
    <w:p w14:paraId="11C26815"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 xml:space="preserve">PIND FOUNDATION (2015). “Briefing: Conflict Prevention in the Aftermath of the Presidential Amnesty Programme” [Online] (Available at: </w:t>
      </w:r>
      <w:hyperlink r:id="rId19" w:history="1">
        <w:r w:rsidRPr="00B82841">
          <w:rPr>
            <w:rStyle w:val="Hyperlink"/>
            <w:rFonts w:ascii="Arial Narrow" w:hAnsi="Arial Narrow"/>
            <w:sz w:val="18"/>
            <w:szCs w:val="18"/>
            <w:lang w:val="en-US"/>
          </w:rPr>
          <w:t>http://www.pindfoundation.org/wp-content/uploads/downloads/2015/08/PIND-Briefing-Aftermath-of-Presidential-Amensty-Programme-in-Niger-Delta-August-2015.pdf</w:t>
        </w:r>
      </w:hyperlink>
      <w:r w:rsidRPr="00B82841">
        <w:rPr>
          <w:rFonts w:ascii="Arial Narrow" w:hAnsi="Arial Narrow"/>
          <w:sz w:val="18"/>
          <w:szCs w:val="18"/>
          <w:lang w:val="en-US"/>
        </w:rPr>
        <w:t>) (Accessed on: October 30</w:t>
      </w:r>
      <w:r w:rsidRPr="00B82841">
        <w:rPr>
          <w:rFonts w:ascii="Arial Narrow" w:hAnsi="Arial Narrow"/>
          <w:sz w:val="18"/>
          <w:szCs w:val="18"/>
          <w:vertAlign w:val="superscript"/>
          <w:lang w:val="en-US"/>
        </w:rPr>
        <w:t>th</w:t>
      </w:r>
      <w:r w:rsidRPr="00B82841">
        <w:rPr>
          <w:rFonts w:ascii="Arial Narrow" w:hAnsi="Arial Narrow"/>
          <w:sz w:val="18"/>
          <w:szCs w:val="18"/>
          <w:lang w:val="en-US"/>
        </w:rPr>
        <w:t>, 2015)</w:t>
      </w:r>
    </w:p>
  </w:footnote>
  <w:footnote w:id="54">
    <w:p w14:paraId="6A1FB99B" w14:textId="77777777" w:rsidR="00AA70B0" w:rsidRPr="00B82841" w:rsidRDefault="00AA70B0" w:rsidP="000C13BE">
      <w:pPr>
        <w:pStyle w:val="FootnoteText"/>
        <w:jc w:val="both"/>
        <w:rPr>
          <w:rFonts w:ascii="Arial Narrow" w:hAnsi="Arial Narrow" w:cs="Arial"/>
          <w:sz w:val="18"/>
          <w:szCs w:val="18"/>
          <w:lang w:val="en-US"/>
        </w:rPr>
      </w:pPr>
      <w:r w:rsidRPr="00B82841">
        <w:rPr>
          <w:rStyle w:val="FootnoteReference"/>
          <w:rFonts w:ascii="Arial Narrow" w:hAnsi="Arial Narrow" w:cs="Arial"/>
          <w:sz w:val="18"/>
          <w:szCs w:val="18"/>
        </w:rPr>
        <w:footnoteRef/>
      </w:r>
      <w:r w:rsidRPr="00B82841">
        <w:rPr>
          <w:rFonts w:ascii="Arial Narrow" w:hAnsi="Arial Narrow" w:cs="Arial"/>
          <w:sz w:val="18"/>
          <w:szCs w:val="18"/>
        </w:rPr>
        <w:t xml:space="preserve"> International Crisis Group (2015). </w:t>
      </w:r>
      <w:r w:rsidRPr="00B82841">
        <w:rPr>
          <w:rFonts w:ascii="Arial Narrow" w:hAnsi="Arial Narrow" w:cs="Arial"/>
          <w:sz w:val="18"/>
          <w:szCs w:val="18"/>
          <w:lang w:val="en-US"/>
        </w:rPr>
        <w:t>Curbing Violence in Nigeria (III): Revisiting the Niger Delta. Africa Report No. 231, October 29, 2015</w:t>
      </w:r>
    </w:p>
  </w:footnote>
  <w:footnote w:id="55">
    <w:p w14:paraId="5E205030" w14:textId="77777777" w:rsidR="00AA70B0" w:rsidRPr="00B82841" w:rsidRDefault="00AA70B0" w:rsidP="000C13BE">
      <w:pPr>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See for instance Kuku, ibid; Joab-Peterside Sofiri et al Documenting the Amnesty Process in the Niger Delta Region of Nigeria, Port Harcourt: Centre for Advanced Social Science, 2011; </w:t>
      </w:r>
      <w:hyperlink r:id="rId20" w:history="1">
        <w:r w:rsidRPr="00B82841">
          <w:rPr>
            <w:rFonts w:ascii="Arial Narrow" w:hAnsi="Arial Narrow"/>
            <w:sz w:val="18"/>
            <w:szCs w:val="18"/>
          </w:rPr>
          <w:t>Davidheiser</w:t>
        </w:r>
      </w:hyperlink>
      <w:r w:rsidRPr="00B82841">
        <w:rPr>
          <w:rFonts w:ascii="Arial Narrow" w:hAnsi="Arial Narrow"/>
          <w:sz w:val="18"/>
          <w:szCs w:val="18"/>
        </w:rPr>
        <w:t xml:space="preserve">, M. and </w:t>
      </w:r>
      <w:hyperlink r:id="rId21" w:history="1">
        <w:r w:rsidRPr="00B82841">
          <w:rPr>
            <w:rFonts w:ascii="Arial Narrow" w:hAnsi="Arial Narrow"/>
            <w:sz w:val="18"/>
            <w:szCs w:val="18"/>
          </w:rPr>
          <w:t>Nyiayaana</w:t>
        </w:r>
      </w:hyperlink>
      <w:r w:rsidRPr="00B82841">
        <w:rPr>
          <w:rFonts w:ascii="Arial Narrow" w:hAnsi="Arial Narrow"/>
          <w:sz w:val="18"/>
          <w:szCs w:val="18"/>
        </w:rPr>
        <w:t xml:space="preserve">, K. (2011) ‘Demobilization or Remobilization? The Amnesty Program and the Search for Peace in the Niger Delta’, African Security 4(1): 44-64, 2011; Newsom, Chris Conflict in the Niger Delta: More than a Local Affair, Special Report 271, Washington, DC: United States Institute of Peace, 2011; </w:t>
      </w:r>
      <w:r w:rsidRPr="00B82841">
        <w:rPr>
          <w:rFonts w:ascii="Arial Narrow" w:eastAsia="MinionPro-Regular" w:hAnsi="Arial Narrow"/>
          <w:sz w:val="18"/>
          <w:szCs w:val="18"/>
        </w:rPr>
        <w:t>Obi, Cyril ‘</w:t>
      </w:r>
      <w:r w:rsidRPr="00B82841">
        <w:rPr>
          <w:rFonts w:ascii="Arial Narrow" w:hAnsi="Arial Narrow"/>
          <w:sz w:val="18"/>
          <w:szCs w:val="18"/>
        </w:rPr>
        <w:t>Oil Extraction, Dispossession, Resistance, and Conflict in Nigeria’s Oil-Rich Niger Delta’, Canadian Journal of Development Studies 30(1–2): 219–236, 2010; Smock, David Crisis in the Niger Delta, USIP Peace Briefing. Washington, DC: United States Institute of Peace, 2009.</w:t>
      </w:r>
    </w:p>
  </w:footnote>
  <w:footnote w:id="56">
    <w:p w14:paraId="3F6C5A37" w14:textId="77777777" w:rsidR="00AA70B0" w:rsidRPr="00B82841" w:rsidRDefault="00AA70B0" w:rsidP="000C13BE">
      <w:pPr>
        <w:pStyle w:val="FootnoteText"/>
        <w:jc w:val="both"/>
        <w:rPr>
          <w:rFonts w:ascii="Arial Narrow" w:hAnsi="Arial Narrow"/>
          <w:sz w:val="18"/>
          <w:szCs w:val="18"/>
        </w:rPr>
      </w:pPr>
      <w:r w:rsidRPr="00B82841">
        <w:rPr>
          <w:rStyle w:val="FootnoteReference"/>
          <w:rFonts w:ascii="Arial Narrow" w:hAnsi="Arial Narrow"/>
          <w:sz w:val="18"/>
          <w:szCs w:val="18"/>
        </w:rPr>
        <w:footnoteRef/>
      </w:r>
      <w:r w:rsidRPr="00B82841">
        <w:rPr>
          <w:rFonts w:ascii="Arial Narrow" w:hAnsi="Arial Narrow"/>
          <w:sz w:val="18"/>
          <w:szCs w:val="18"/>
        </w:rPr>
        <w:t xml:space="preserve"> According to the National Bureau of Statistics, unemployment rate in Imo State in 2010 was 29.9%, Delta State, 27.2% and Akwa Ibom State, 25.8%. See National Bureau of Statistics ‘National Manpower Stock and Employment Generation Survey 2010’  </w:t>
      </w:r>
      <w:hyperlink r:id="rId22" w:history="1">
        <w:r w:rsidRPr="00B82841">
          <w:rPr>
            <w:rStyle w:val="Hyperlink"/>
            <w:rFonts w:ascii="Arial Narrow" w:hAnsi="Arial Narrow"/>
            <w:sz w:val="18"/>
            <w:szCs w:val="18"/>
          </w:rPr>
          <w:t>www.nigeriastat.gov.ng/uploads/latestRelease/2b1f54acea7189e402bc1d2b9d 240305edd96c1.pdf</w:t>
        </w:r>
      </w:hyperlink>
      <w:r w:rsidRPr="00B82841">
        <w:rPr>
          <w:rFonts w:ascii="Arial Narrow" w:hAnsi="Arial Narrow"/>
          <w:sz w:val="18"/>
          <w:szCs w:val="18"/>
          <w:u w:val="single"/>
        </w:rPr>
        <w:t xml:space="preserve"> </w:t>
      </w:r>
      <w:r w:rsidRPr="00B82841">
        <w:rPr>
          <w:rFonts w:ascii="Arial Narrow" w:hAnsi="Arial Narrow"/>
          <w:sz w:val="18"/>
          <w:szCs w:val="18"/>
        </w:rPr>
        <w:t xml:space="preserve"> [Accessed 14</w:t>
      </w:r>
      <w:r w:rsidRPr="00B82841">
        <w:rPr>
          <w:rFonts w:ascii="Arial Narrow" w:hAnsi="Arial Narrow"/>
          <w:sz w:val="18"/>
          <w:szCs w:val="18"/>
          <w:vertAlign w:val="superscript"/>
        </w:rPr>
        <w:t>th</w:t>
      </w:r>
      <w:r w:rsidRPr="00B82841">
        <w:rPr>
          <w:rFonts w:ascii="Arial Narrow" w:hAnsi="Arial Narrow"/>
          <w:sz w:val="18"/>
          <w:szCs w:val="18"/>
        </w:rPr>
        <w:t xml:space="preserve"> May 2012].</w:t>
      </w:r>
    </w:p>
    <w:p w14:paraId="3ACDC8D9" w14:textId="77777777" w:rsidR="00AA70B0" w:rsidRPr="00B82841" w:rsidRDefault="00AA70B0" w:rsidP="000C13BE">
      <w:pPr>
        <w:pStyle w:val="FootnoteText"/>
        <w:jc w:val="both"/>
        <w:rPr>
          <w:rFonts w:ascii="Arial Narrow" w:hAnsi="Arial Narrow"/>
          <w:sz w:val="18"/>
          <w:szCs w:val="18"/>
        </w:rPr>
      </w:pPr>
    </w:p>
  </w:footnote>
  <w:footnote w:id="57">
    <w:p w14:paraId="6005B250" w14:textId="77777777" w:rsidR="00AA70B0" w:rsidRPr="00B1761F" w:rsidRDefault="00AA70B0" w:rsidP="004C4A79">
      <w:pPr>
        <w:pStyle w:val="FootnoteText"/>
        <w:jc w:val="both"/>
        <w:rPr>
          <w:rFonts w:ascii="Arial Narrow" w:hAnsi="Arial Narrow"/>
          <w:sz w:val="18"/>
          <w:szCs w:val="18"/>
          <w:lang w:val="en-US"/>
        </w:rPr>
      </w:pPr>
      <w:r w:rsidRPr="00B1761F">
        <w:rPr>
          <w:rStyle w:val="FootnoteReference"/>
          <w:rFonts w:ascii="Arial Narrow" w:hAnsi="Arial Narrow"/>
          <w:sz w:val="18"/>
          <w:szCs w:val="18"/>
        </w:rPr>
        <w:footnoteRef/>
      </w:r>
      <w:r w:rsidRPr="00B1761F">
        <w:rPr>
          <w:rFonts w:ascii="Arial Narrow" w:hAnsi="Arial Narrow" w:cs="Arial"/>
          <w:sz w:val="18"/>
          <w:szCs w:val="18"/>
          <w:lang w:val="en-US"/>
        </w:rPr>
        <w:t>Paul Francis, Deirdre Lapin &amp; Paula Rossiasco, (2011) “Securing Development and Peace in the Niger Delta”, A Social and Conflict Analysis for Change, [Online] pp.6. Available from:</w:t>
      </w:r>
      <w:hyperlink r:id="rId23" w:history="1">
        <w:r w:rsidRPr="00B1761F">
          <w:rPr>
            <w:rStyle w:val="Hyperlink"/>
            <w:rFonts w:ascii="Arial Narrow" w:hAnsi="Arial Narrow" w:cs="Arial"/>
            <w:sz w:val="18"/>
            <w:szCs w:val="18"/>
            <w:lang w:val="en-US"/>
          </w:rPr>
          <w:t>http://www.wilsoncenter.org/sites/default/files/AFR_110929_Niger%20Delta_0113.pdf</w:t>
        </w:r>
      </w:hyperlink>
      <w:r w:rsidRPr="00B1761F">
        <w:rPr>
          <w:rFonts w:ascii="Arial Narrow" w:hAnsi="Arial Narrow" w:cs="Arial"/>
          <w:sz w:val="18"/>
          <w:szCs w:val="18"/>
          <w:lang w:val="en-US"/>
        </w:rPr>
        <w:t xml:space="preserve"> [Accessed: 28</w:t>
      </w:r>
      <w:r w:rsidRPr="00B1761F">
        <w:rPr>
          <w:rFonts w:ascii="Arial Narrow" w:hAnsi="Arial Narrow" w:cs="Arial"/>
          <w:sz w:val="18"/>
          <w:szCs w:val="18"/>
          <w:vertAlign w:val="superscript"/>
          <w:lang w:val="en-US"/>
        </w:rPr>
        <w:t>th</w:t>
      </w:r>
      <w:r w:rsidRPr="00B1761F">
        <w:rPr>
          <w:rFonts w:ascii="Arial Narrow" w:hAnsi="Arial Narrow" w:cs="Arial"/>
          <w:sz w:val="18"/>
          <w:szCs w:val="18"/>
          <w:lang w:val="en-US"/>
        </w:rPr>
        <w:t xml:space="preserve"> October 2015]</w:t>
      </w:r>
    </w:p>
  </w:footnote>
  <w:footnote w:id="58">
    <w:p w14:paraId="2FC136C1"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The sum total are for the period of (2010-2014)</w:t>
      </w:r>
    </w:p>
  </w:footnote>
  <w:footnote w:id="59">
    <w:p w14:paraId="58633651"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Margaret Abazie-Humphrey (June 2014). “Engaging the Nigerian Niger Delta Ex-agitators: The impacts of the Presidential Amnesty Program to Economic Development” [Online] (Available at:</w:t>
      </w:r>
      <w:hyperlink r:id="rId24" w:history="1">
        <w:r w:rsidRPr="00B82841">
          <w:rPr>
            <w:rStyle w:val="Hyperlink"/>
            <w:rFonts w:ascii="Arial Narrow" w:hAnsi="Arial Narrow" w:cs="Lucida Grande"/>
            <w:sz w:val="18"/>
            <w:szCs w:val="18"/>
          </w:rPr>
          <w:t>http://www.eadi.org/typo3/fileadmin/Documents/Events/General_Conference/2014/gc2014-abazie-humphrey-41.pdf</w:t>
        </w:r>
      </w:hyperlink>
      <w:r w:rsidRPr="00B82841">
        <w:rPr>
          <w:rFonts w:ascii="Arial Narrow" w:hAnsi="Arial Narrow" w:cs="Lucida Grande"/>
          <w:color w:val="000000"/>
          <w:sz w:val="18"/>
          <w:szCs w:val="18"/>
        </w:rPr>
        <w:t xml:space="preserve">) </w:t>
      </w:r>
    </w:p>
  </w:footnote>
  <w:footnote w:id="60">
    <w:p w14:paraId="7127B0EB"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Mineral Derivation figure is included in the Net allocations. Mineral Derivation is 13% of the oil revenues derived from each of the nine oil producing states</w:t>
      </w:r>
    </w:p>
  </w:footnote>
  <w:footnote w:id="61">
    <w:p w14:paraId="2A256D3F" w14:textId="77777777" w:rsidR="00AA70B0" w:rsidRPr="00B82841" w:rsidRDefault="00AA70B0" w:rsidP="00CE17AA">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rPr>
        <w:t xml:space="preserve"> ‘</w:t>
      </w:r>
      <w:r w:rsidRPr="00B82841">
        <w:rPr>
          <w:rFonts w:ascii="Arial Narrow" w:hAnsi="Arial Narrow"/>
          <w:sz w:val="18"/>
          <w:szCs w:val="18"/>
          <w:lang w:val="en-US"/>
        </w:rPr>
        <w:t>n/a’ indicates that data was unavailable (Oil production in Cross River has not been consistent)</w:t>
      </w:r>
    </w:p>
  </w:footnote>
  <w:footnote w:id="62">
    <w:p w14:paraId="14C833BE" w14:textId="77777777" w:rsidR="00AA70B0" w:rsidRPr="00B82841" w:rsidRDefault="00AA70B0" w:rsidP="000C13BE">
      <w:pPr>
        <w:pStyle w:val="FootnoteText"/>
        <w:jc w:val="both"/>
        <w:rPr>
          <w:rFonts w:ascii="Arial Narrow" w:hAnsi="Arial Narrow"/>
          <w:sz w:val="18"/>
          <w:szCs w:val="18"/>
          <w:lang w:val="en-US"/>
        </w:rPr>
      </w:pPr>
      <w:r w:rsidRPr="00B82841">
        <w:rPr>
          <w:rStyle w:val="FootnoteReference"/>
          <w:rFonts w:ascii="Arial Narrow" w:hAnsi="Arial Narrow"/>
          <w:sz w:val="18"/>
          <w:szCs w:val="18"/>
        </w:rPr>
        <w:footnoteRef/>
      </w:r>
      <w:r w:rsidRPr="00B82841">
        <w:rPr>
          <w:rFonts w:ascii="Arial Narrow" w:hAnsi="Arial Narrow"/>
          <w:sz w:val="18"/>
          <w:szCs w:val="18"/>
          <w:lang w:val="en-US"/>
        </w:rPr>
        <w:t>VAT to the states is already included in the State Allocations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124F" w14:textId="5BF9C948" w:rsidR="00AA70B0" w:rsidRPr="00C601A5" w:rsidRDefault="00AA70B0" w:rsidP="00736D4E">
    <w:pPr>
      <w:pStyle w:val="Header"/>
      <w:tabs>
        <w:tab w:val="clear" w:pos="8640"/>
        <w:tab w:val="right" w:pos="9498"/>
      </w:tabs>
      <w:rPr>
        <w:color w:val="548DD4" w:themeColor="text2" w:themeTint="99"/>
        <w:sz w:val="20"/>
      </w:rPr>
    </w:pPr>
    <w:r>
      <w:rPr>
        <w:color w:val="548DD4" w:themeColor="text2" w:themeTint="99"/>
        <w:sz w:val="20"/>
      </w:rPr>
      <w:t>Political Economy Analysis of Fund Flows to the Niger Delta Region</w:t>
    </w:r>
  </w:p>
  <w:p w14:paraId="77E1318B" w14:textId="77777777" w:rsidR="00AA70B0" w:rsidRPr="00C601A5" w:rsidRDefault="00AA70B0" w:rsidP="00736D4E">
    <w:pPr>
      <w:pStyle w:val="Header"/>
      <w:tabs>
        <w:tab w:val="clear" w:pos="8640"/>
        <w:tab w:val="right" w:pos="9498"/>
      </w:tabs>
      <w:rPr>
        <w:color w:val="548DD4" w:themeColor="text2" w:themeTint="99"/>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4FB4" w14:textId="77777777" w:rsidR="00AA70B0" w:rsidRPr="0056305A" w:rsidRDefault="00AA70B0" w:rsidP="0056305A">
    <w:pPr>
      <w:pStyle w:val="Header"/>
      <w:tabs>
        <w:tab w:val="clear" w:pos="8640"/>
        <w:tab w:val="right" w:pos="9498"/>
      </w:tabs>
      <w:rPr>
        <w:color w:val="548DD4" w:themeColor="text2" w:themeTint="99"/>
        <w:sz w:val="20"/>
      </w:rPr>
    </w:pPr>
    <w:r>
      <w:rPr>
        <w:color w:val="548DD4" w:themeColor="text2" w:themeTint="99"/>
        <w:sz w:val="20"/>
      </w:rPr>
      <w:t>Political Economy Analysis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3BC1D5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B70BFE"/>
    <w:multiLevelType w:val="multilevel"/>
    <w:tmpl w:val="6426667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47E06A4"/>
    <w:multiLevelType w:val="hybridMultilevel"/>
    <w:tmpl w:val="DB2CD34E"/>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52D3F"/>
    <w:multiLevelType w:val="hybridMultilevel"/>
    <w:tmpl w:val="14B2667E"/>
    <w:lvl w:ilvl="0" w:tplc="467C4F8E">
      <w:start w:val="1"/>
      <w:numFmt w:val="none"/>
      <w:lvlText w:val="Figure 2."/>
      <w:lvlJc w:val="left"/>
      <w:pPr>
        <w:tabs>
          <w:tab w:val="num" w:pos="397"/>
        </w:tabs>
        <w:ind w:left="0" w:firstLine="0"/>
      </w:pPr>
      <w:rPr>
        <w:rFonts w:ascii="Arial" w:hAnsi="Arial"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9527A"/>
    <w:multiLevelType w:val="hybridMultilevel"/>
    <w:tmpl w:val="A486502E"/>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4285B"/>
    <w:multiLevelType w:val="hybridMultilevel"/>
    <w:tmpl w:val="B31A761E"/>
    <w:lvl w:ilvl="0" w:tplc="35161A3E">
      <w:start w:val="1"/>
      <w:numFmt w:val="none"/>
      <w:lvlText w:val="Figure 1."/>
      <w:lvlJc w:val="left"/>
      <w:pPr>
        <w:tabs>
          <w:tab w:val="num" w:pos="284"/>
        </w:tabs>
        <w:ind w:left="284" w:hanging="284"/>
      </w:pPr>
      <w:rPr>
        <w:rFonts w:ascii="Arial" w:hAnsi="Arial" w:hint="default"/>
        <w:b w:val="0"/>
        <w:bCs w:val="0"/>
        <w:i w:val="0"/>
        <w:iCs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C5527"/>
    <w:multiLevelType w:val="hybridMultilevel"/>
    <w:tmpl w:val="0B4EE9D6"/>
    <w:lvl w:ilvl="0" w:tplc="B8C61012">
      <w:start w:val="1"/>
      <w:numFmt w:val="decimal"/>
      <w:lvlText w:val="Figure %1:"/>
      <w:lvlJc w:val="left"/>
      <w:pPr>
        <w:tabs>
          <w:tab w:val="num" w:pos="397"/>
        </w:tabs>
        <w:ind w:left="0" w:firstLine="0"/>
      </w:pPr>
      <w:rPr>
        <w:rFonts w:ascii="Arial" w:hAnsi="Arial" w:hint="default"/>
        <w:b w:val="0"/>
        <w:bCs w:val="0"/>
        <w:i w:val="0"/>
        <w:i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8929AF"/>
    <w:multiLevelType w:val="hybridMultilevel"/>
    <w:tmpl w:val="8F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1F5308"/>
    <w:multiLevelType w:val="hybridMultilevel"/>
    <w:tmpl w:val="361C334E"/>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F3310"/>
    <w:multiLevelType w:val="hybridMultilevel"/>
    <w:tmpl w:val="8AE2801E"/>
    <w:lvl w:ilvl="0" w:tplc="950EDE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CA287C"/>
    <w:multiLevelType w:val="hybridMultilevel"/>
    <w:tmpl w:val="7D2A50C6"/>
    <w:lvl w:ilvl="0" w:tplc="2CAE5FD8">
      <w:start w:val="1"/>
      <w:numFmt w:val="decimal"/>
      <w:pStyle w:val="PIBPART"/>
      <w:lvlText w:val="PART %1."/>
      <w:lvlJc w:val="left"/>
      <w:pPr>
        <w:ind w:left="0" w:firstLine="0"/>
      </w:pPr>
      <w:rPr>
        <w:rFonts w:ascii="Arial Bold" w:hAnsi="Arial Bold" w:hint="default"/>
        <w:b/>
        <w:i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D51C5"/>
    <w:multiLevelType w:val="hybridMultilevel"/>
    <w:tmpl w:val="4CEC74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B1C97"/>
    <w:multiLevelType w:val="hybridMultilevel"/>
    <w:tmpl w:val="234A140A"/>
    <w:lvl w:ilvl="0" w:tplc="67106504">
      <w:start w:val="1"/>
      <w:numFmt w:val="none"/>
      <w:lvlText w:val="Figure 2."/>
      <w:lvlJc w:val="left"/>
      <w:pPr>
        <w:ind w:left="720" w:hanging="360"/>
      </w:pPr>
      <w:rPr>
        <w:rFonts w:ascii="Arial" w:hAnsi="Arial"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17116"/>
    <w:multiLevelType w:val="hybridMultilevel"/>
    <w:tmpl w:val="E1E6E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5D724D"/>
    <w:multiLevelType w:val="hybridMultilevel"/>
    <w:tmpl w:val="72603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92729F"/>
    <w:multiLevelType w:val="hybridMultilevel"/>
    <w:tmpl w:val="23642C88"/>
    <w:lvl w:ilvl="0" w:tplc="D0C4918C">
      <w:start w:val="1"/>
      <w:numFmt w:val="decimal"/>
      <w:pStyle w:val="FigureList"/>
      <w:lvlText w:val="Figure %1."/>
      <w:lvlJc w:val="left"/>
      <w:pPr>
        <w:ind w:left="360" w:hanging="360"/>
      </w:pPr>
      <w:rPr>
        <w:rFonts w:ascii="Arial" w:hAnsi="Arial" w:hint="default"/>
        <w:b w:val="0"/>
        <w:bCs w:val="0"/>
        <w:i w:val="0"/>
        <w:iCs w:val="0"/>
        <w:color w:val="000090"/>
        <w:sz w:val="20"/>
        <w:szCs w:val="20"/>
      </w:rPr>
    </w:lvl>
    <w:lvl w:ilvl="1" w:tplc="C074A946">
      <w:start w:val="1"/>
      <w:numFmt w:val="decimal"/>
      <w:lvlText w:val="%2"/>
      <w:lvlJc w:val="left"/>
      <w:pPr>
        <w:ind w:left="1880" w:hanging="800"/>
      </w:pPr>
      <w:rPr>
        <w:rFonts w:hint="default"/>
      </w:rPr>
    </w:lvl>
    <w:lvl w:ilvl="2" w:tplc="04090005">
      <w:start w:val="1"/>
      <w:numFmt w:val="lowerRoman"/>
      <w:lvlText w:val="%3."/>
      <w:lvlJc w:val="right"/>
      <w:pPr>
        <w:ind w:left="2160" w:hanging="180"/>
      </w:pPr>
    </w:lvl>
    <w:lvl w:ilvl="3" w:tplc="ABFA1ACA">
      <w:start w:val="1"/>
      <w:numFmt w:val="decimal"/>
      <w:lvlText w:val="%4."/>
      <w:lvlJc w:val="left"/>
      <w:pPr>
        <w:ind w:left="3240" w:hanging="720"/>
      </w:pPr>
      <w:rPr>
        <w:rFonts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38956CFF"/>
    <w:multiLevelType w:val="multilevel"/>
    <w:tmpl w:val="E3C0F70E"/>
    <w:lvl w:ilvl="0">
      <w:start w:val="1"/>
      <w:numFmt w:val="decimal"/>
      <w:lvlText w:val="%1."/>
      <w:lvlJc w:val="left"/>
      <w:pPr>
        <w:ind w:left="360" w:hanging="360"/>
      </w:pPr>
      <w:rPr>
        <w:rFonts w:hint="default"/>
      </w:rPr>
    </w:lvl>
    <w:lvl w:ilvl="1">
      <w:start w:val="1"/>
      <w:numFmt w:val="decimal"/>
      <w:pStyle w:val="Head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5D2BEF"/>
    <w:multiLevelType w:val="hybridMultilevel"/>
    <w:tmpl w:val="601452D4"/>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86FEA"/>
    <w:multiLevelType w:val="hybridMultilevel"/>
    <w:tmpl w:val="2A9E4C68"/>
    <w:lvl w:ilvl="0" w:tplc="9A7871CE">
      <w:start w:val="1"/>
      <w:numFmt w:val="bullet"/>
      <w:pStyle w:val="MetisBulletHeading"/>
      <w:lvlText w:val=""/>
      <w:lvlJc w:val="left"/>
      <w:pPr>
        <w:ind w:left="283" w:hanging="283"/>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3380777"/>
    <w:multiLevelType w:val="multilevel"/>
    <w:tmpl w:val="234A140A"/>
    <w:lvl w:ilvl="0">
      <w:start w:val="1"/>
      <w:numFmt w:val="none"/>
      <w:lvlText w:val="Figure 2."/>
      <w:lvlJc w:val="left"/>
      <w:pPr>
        <w:ind w:left="720" w:hanging="360"/>
      </w:pPr>
      <w:rPr>
        <w:rFonts w:ascii="Arial" w:hAnsi="Arial" w:hint="default"/>
        <w:b/>
        <w:bCs w:val="0"/>
        <w:i w:val="0"/>
        <w:i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9C69CB"/>
    <w:multiLevelType w:val="hybridMultilevel"/>
    <w:tmpl w:val="37C4C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1B20AB"/>
    <w:multiLevelType w:val="hybridMultilevel"/>
    <w:tmpl w:val="EC66CE70"/>
    <w:lvl w:ilvl="0" w:tplc="3370DF9C">
      <w:start w:val="1"/>
      <w:numFmt w:val="decimal"/>
      <w:lvlText w:val="Figure %1:"/>
      <w:lvlJc w:val="left"/>
      <w:pPr>
        <w:tabs>
          <w:tab w:val="num" w:pos="397"/>
        </w:tabs>
        <w:ind w:left="0" w:firstLine="0"/>
      </w:pPr>
      <w:rPr>
        <w:rFonts w:hint="default"/>
        <w:b w:val="0"/>
        <w:bCs w:val="0"/>
        <w:i w:val="0"/>
        <w:iCs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7F1B2B"/>
    <w:multiLevelType w:val="hybridMultilevel"/>
    <w:tmpl w:val="EF88FB52"/>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02984"/>
    <w:multiLevelType w:val="hybridMultilevel"/>
    <w:tmpl w:val="F4ECB97E"/>
    <w:lvl w:ilvl="0" w:tplc="B0785E24">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DF09DD"/>
    <w:multiLevelType w:val="hybridMultilevel"/>
    <w:tmpl w:val="261C8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16580B"/>
    <w:multiLevelType w:val="multilevel"/>
    <w:tmpl w:val="98987B28"/>
    <w:lvl w:ilvl="0">
      <w:start w:val="1"/>
      <w:numFmt w:val="decimal"/>
      <w:lvlText w:val="%1."/>
      <w:lvlJc w:val="left"/>
      <w:pPr>
        <w:ind w:left="360" w:hanging="360"/>
      </w:pPr>
      <w:rPr>
        <w:rFonts w:hint="default"/>
      </w:rPr>
    </w:lvl>
    <w:lvl w:ilvl="1">
      <w:start w:val="1"/>
      <w:numFmt w:val="decimal"/>
      <w:pStyle w:val="STATUS-TIT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32208B0"/>
    <w:multiLevelType w:val="hybridMultilevel"/>
    <w:tmpl w:val="E41C8854"/>
    <w:lvl w:ilvl="0" w:tplc="E5CE9F5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4642F4"/>
    <w:multiLevelType w:val="hybridMultilevel"/>
    <w:tmpl w:val="86304D14"/>
    <w:lvl w:ilvl="0" w:tplc="49CC9B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404745"/>
    <w:multiLevelType w:val="hybridMultilevel"/>
    <w:tmpl w:val="FE7CA1EC"/>
    <w:lvl w:ilvl="0" w:tplc="434E7B78">
      <w:start w:val="1"/>
      <w:numFmt w:val="decimal"/>
      <w:lvlText w:val="Table %1."/>
      <w:lvlJc w:val="left"/>
      <w:pPr>
        <w:ind w:left="360" w:hanging="360"/>
      </w:pPr>
      <w:rPr>
        <w:rFonts w:ascii="Arial" w:hAnsi="Arial" w:hint="default"/>
        <w:b w:val="0"/>
        <w:bCs w:val="0"/>
        <w:i w:val="0"/>
        <w:i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72D783A"/>
    <w:multiLevelType w:val="hybridMultilevel"/>
    <w:tmpl w:val="2B9C4C30"/>
    <w:lvl w:ilvl="0" w:tplc="280250C8">
      <w:start w:val="1"/>
      <w:numFmt w:val="decimal"/>
      <w:pStyle w:val="TableList"/>
      <w:lvlText w:val="Table %1:"/>
      <w:lvlJc w:val="left"/>
      <w:pPr>
        <w:tabs>
          <w:tab w:val="num" w:pos="397"/>
        </w:tabs>
        <w:ind w:left="0" w:firstLine="0"/>
      </w:pPr>
      <w:rPr>
        <w:rFonts w:ascii="Arial" w:hAnsi="Arial" w:hint="default"/>
        <w:color w:val="0000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C248A"/>
    <w:multiLevelType w:val="hybridMultilevel"/>
    <w:tmpl w:val="E2427EBC"/>
    <w:lvl w:ilvl="0" w:tplc="4F4684DA">
      <w:start w:val="1"/>
      <w:numFmt w:val="decimal"/>
      <w:pStyle w:val="PIB1"/>
      <w:lvlText w:val="%1."/>
      <w:lvlJc w:val="left"/>
      <w:pPr>
        <w:ind w:left="360" w:hanging="360"/>
      </w:pPr>
      <w:rPr>
        <w:rFonts w:hint="default"/>
        <w:b/>
        <w:i w:val="0"/>
      </w:rPr>
    </w:lvl>
    <w:lvl w:ilvl="1" w:tplc="04090019">
      <w:start w:val="1"/>
      <w:numFmt w:val="lowerLetter"/>
      <w:lvlText w:val="(%2)"/>
      <w:lvlJc w:val="left"/>
      <w:pPr>
        <w:ind w:left="1440" w:hanging="360"/>
      </w:pPr>
      <w:rPr>
        <w:rFonts w:cs="Helvetica Neue Bold Condense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C3A00"/>
    <w:multiLevelType w:val="multilevel"/>
    <w:tmpl w:val="B3762E4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436"/>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nsid w:val="759403E3"/>
    <w:multiLevelType w:val="multilevel"/>
    <w:tmpl w:val="B31A761E"/>
    <w:lvl w:ilvl="0">
      <w:start w:val="1"/>
      <w:numFmt w:val="none"/>
      <w:lvlText w:val="Figure 1."/>
      <w:lvlJc w:val="left"/>
      <w:pPr>
        <w:tabs>
          <w:tab w:val="num" w:pos="284"/>
        </w:tabs>
        <w:ind w:left="284" w:hanging="284"/>
      </w:pPr>
      <w:rPr>
        <w:rFonts w:ascii="Arial" w:hAnsi="Arial" w:hint="default"/>
        <w:b w:val="0"/>
        <w:bCs w:val="0"/>
        <w:i w:val="0"/>
        <w:iCs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B960AD4"/>
    <w:multiLevelType w:val="hybridMultilevel"/>
    <w:tmpl w:val="0CA2FE4A"/>
    <w:lvl w:ilvl="0" w:tplc="F018674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7C7A31"/>
    <w:multiLevelType w:val="multilevel"/>
    <w:tmpl w:val="EC66CE70"/>
    <w:lvl w:ilvl="0">
      <w:start w:val="1"/>
      <w:numFmt w:val="decimal"/>
      <w:lvlText w:val="Figure %1:"/>
      <w:lvlJc w:val="left"/>
      <w:pPr>
        <w:tabs>
          <w:tab w:val="num" w:pos="397"/>
        </w:tabs>
        <w:ind w:left="0" w:firstLine="0"/>
      </w:pPr>
      <w:rPr>
        <w:rFonts w:hint="default"/>
        <w:b w:val="0"/>
        <w:bCs w:val="0"/>
        <w:i w:val="0"/>
        <w:iCs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30"/>
  </w:num>
  <w:num w:numId="3">
    <w:abstractNumId w:val="10"/>
  </w:num>
  <w:num w:numId="4">
    <w:abstractNumId w:val="16"/>
  </w:num>
  <w:num w:numId="5">
    <w:abstractNumId w:val="25"/>
  </w:num>
  <w:num w:numId="6">
    <w:abstractNumId w:val="1"/>
  </w:num>
  <w:num w:numId="7">
    <w:abstractNumId w:val="0"/>
  </w:num>
  <w:num w:numId="8">
    <w:abstractNumId w:val="23"/>
  </w:num>
  <w:num w:numId="9">
    <w:abstractNumId w:val="15"/>
  </w:num>
  <w:num w:numId="10">
    <w:abstractNumId w:val="7"/>
  </w:num>
  <w:num w:numId="11">
    <w:abstractNumId w:val="33"/>
  </w:num>
  <w:num w:numId="12">
    <w:abstractNumId w:val="27"/>
  </w:num>
  <w:num w:numId="13">
    <w:abstractNumId w:val="9"/>
  </w:num>
  <w:num w:numId="14">
    <w:abstractNumId w:val="20"/>
  </w:num>
  <w:num w:numId="15">
    <w:abstractNumId w:val="4"/>
  </w:num>
  <w:num w:numId="16">
    <w:abstractNumId w:val="8"/>
  </w:num>
  <w:num w:numId="17">
    <w:abstractNumId w:val="17"/>
  </w:num>
  <w:num w:numId="18">
    <w:abstractNumId w:val="26"/>
  </w:num>
  <w:num w:numId="19">
    <w:abstractNumId w:val="2"/>
  </w:num>
  <w:num w:numId="20">
    <w:abstractNumId w:val="22"/>
  </w:num>
  <w:num w:numId="21">
    <w:abstractNumId w:val="12"/>
  </w:num>
  <w:num w:numId="22">
    <w:abstractNumId w:val="14"/>
  </w:num>
  <w:num w:numId="23">
    <w:abstractNumId w:val="13"/>
  </w:num>
  <w:num w:numId="24">
    <w:abstractNumId w:val="24"/>
  </w:num>
  <w:num w:numId="25">
    <w:abstractNumId w:val="31"/>
  </w:num>
  <w:num w:numId="26">
    <w:abstractNumId w:val="5"/>
  </w:num>
  <w:num w:numId="27">
    <w:abstractNumId w:val="11"/>
  </w:num>
  <w:num w:numId="28">
    <w:abstractNumId w:val="28"/>
  </w:num>
  <w:num w:numId="29">
    <w:abstractNumId w:val="19"/>
  </w:num>
  <w:num w:numId="30">
    <w:abstractNumId w:val="3"/>
  </w:num>
  <w:num w:numId="31">
    <w:abstractNumId w:val="23"/>
  </w:num>
  <w:num w:numId="32">
    <w:abstractNumId w:val="23"/>
  </w:num>
  <w:num w:numId="33">
    <w:abstractNumId w:val="23"/>
  </w:num>
  <w:num w:numId="34">
    <w:abstractNumId w:val="32"/>
  </w:num>
  <w:num w:numId="35">
    <w:abstractNumId w:val="21"/>
  </w:num>
  <w:num w:numId="36">
    <w:abstractNumId w:val="23"/>
  </w:num>
  <w:num w:numId="37">
    <w:abstractNumId w:val="34"/>
  </w:num>
  <w:num w:numId="38">
    <w:abstractNumId w:val="6"/>
  </w:num>
  <w:num w:numId="39">
    <w:abstractNumId w:val="23"/>
  </w:num>
  <w:num w:numId="40">
    <w:abstractNumId w:val="31"/>
  </w:num>
  <w:num w:numId="41">
    <w:abstractNumId w:val="28"/>
  </w:num>
  <w:num w:numId="42">
    <w:abstractNumId w:val="28"/>
  </w:num>
  <w:num w:numId="43">
    <w:abstractNumId w:val="28"/>
  </w:num>
  <w:num w:numId="44">
    <w:abstractNumId w:val="29"/>
  </w:num>
  <w:num w:numId="45">
    <w:abstractNumId w:val="29"/>
  </w:num>
  <w:num w:numId="4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61"/>
    <w:rsid w:val="00002A15"/>
    <w:rsid w:val="00002DF0"/>
    <w:rsid w:val="000068A8"/>
    <w:rsid w:val="0001048E"/>
    <w:rsid w:val="00011245"/>
    <w:rsid w:val="00011A09"/>
    <w:rsid w:val="00011BF7"/>
    <w:rsid w:val="0001448A"/>
    <w:rsid w:val="00016388"/>
    <w:rsid w:val="00016821"/>
    <w:rsid w:val="000204C7"/>
    <w:rsid w:val="000229CF"/>
    <w:rsid w:val="00022C9B"/>
    <w:rsid w:val="00022FDF"/>
    <w:rsid w:val="00023132"/>
    <w:rsid w:val="0003099E"/>
    <w:rsid w:val="00030B86"/>
    <w:rsid w:val="0003101C"/>
    <w:rsid w:val="00031D66"/>
    <w:rsid w:val="00033A3C"/>
    <w:rsid w:val="00034D4E"/>
    <w:rsid w:val="00035166"/>
    <w:rsid w:val="00037711"/>
    <w:rsid w:val="00037A70"/>
    <w:rsid w:val="00045A21"/>
    <w:rsid w:val="00045C0F"/>
    <w:rsid w:val="00047039"/>
    <w:rsid w:val="00055A3F"/>
    <w:rsid w:val="000563EC"/>
    <w:rsid w:val="0005713C"/>
    <w:rsid w:val="000574DB"/>
    <w:rsid w:val="00060BD0"/>
    <w:rsid w:val="00060F9B"/>
    <w:rsid w:val="0006131A"/>
    <w:rsid w:val="000622C2"/>
    <w:rsid w:val="00062B8B"/>
    <w:rsid w:val="0006707D"/>
    <w:rsid w:val="000745CF"/>
    <w:rsid w:val="000753D9"/>
    <w:rsid w:val="00084BA4"/>
    <w:rsid w:val="00085497"/>
    <w:rsid w:val="0008668A"/>
    <w:rsid w:val="00087F14"/>
    <w:rsid w:val="000903DF"/>
    <w:rsid w:val="00092AA3"/>
    <w:rsid w:val="0009549F"/>
    <w:rsid w:val="00097C85"/>
    <w:rsid w:val="000A16D3"/>
    <w:rsid w:val="000A54BF"/>
    <w:rsid w:val="000A5C78"/>
    <w:rsid w:val="000B30A5"/>
    <w:rsid w:val="000B4E78"/>
    <w:rsid w:val="000B6AF6"/>
    <w:rsid w:val="000C0356"/>
    <w:rsid w:val="000C13BE"/>
    <w:rsid w:val="000C24A0"/>
    <w:rsid w:val="000C29EA"/>
    <w:rsid w:val="000C2C8A"/>
    <w:rsid w:val="000C569F"/>
    <w:rsid w:val="000C59DB"/>
    <w:rsid w:val="000C66A4"/>
    <w:rsid w:val="000D06D7"/>
    <w:rsid w:val="000D199F"/>
    <w:rsid w:val="000D6FEE"/>
    <w:rsid w:val="000E27EC"/>
    <w:rsid w:val="000E28C6"/>
    <w:rsid w:val="000E37A6"/>
    <w:rsid w:val="000E509A"/>
    <w:rsid w:val="000E5759"/>
    <w:rsid w:val="000E7A15"/>
    <w:rsid w:val="000F028A"/>
    <w:rsid w:val="000F327E"/>
    <w:rsid w:val="000F36CA"/>
    <w:rsid w:val="000F616D"/>
    <w:rsid w:val="001000D0"/>
    <w:rsid w:val="001002BD"/>
    <w:rsid w:val="00100E4D"/>
    <w:rsid w:val="00101BFF"/>
    <w:rsid w:val="00103BF5"/>
    <w:rsid w:val="0010433D"/>
    <w:rsid w:val="00104481"/>
    <w:rsid w:val="001053BC"/>
    <w:rsid w:val="00106537"/>
    <w:rsid w:val="00107F7F"/>
    <w:rsid w:val="0011464D"/>
    <w:rsid w:val="0011597D"/>
    <w:rsid w:val="00121A2C"/>
    <w:rsid w:val="00123B4E"/>
    <w:rsid w:val="0012487A"/>
    <w:rsid w:val="001248CF"/>
    <w:rsid w:val="00127906"/>
    <w:rsid w:val="0013041F"/>
    <w:rsid w:val="00130931"/>
    <w:rsid w:val="00130EC0"/>
    <w:rsid w:val="0013108C"/>
    <w:rsid w:val="00132C7C"/>
    <w:rsid w:val="001341F3"/>
    <w:rsid w:val="00134233"/>
    <w:rsid w:val="0013571C"/>
    <w:rsid w:val="00135EA1"/>
    <w:rsid w:val="00137DFE"/>
    <w:rsid w:val="00141470"/>
    <w:rsid w:val="00144797"/>
    <w:rsid w:val="00150482"/>
    <w:rsid w:val="001504A0"/>
    <w:rsid w:val="00156262"/>
    <w:rsid w:val="00156FCB"/>
    <w:rsid w:val="001571A5"/>
    <w:rsid w:val="00164FC8"/>
    <w:rsid w:val="001704DC"/>
    <w:rsid w:val="0017093A"/>
    <w:rsid w:val="00170EA9"/>
    <w:rsid w:val="00170EAA"/>
    <w:rsid w:val="001724EB"/>
    <w:rsid w:val="00172F7E"/>
    <w:rsid w:val="001745B6"/>
    <w:rsid w:val="00177367"/>
    <w:rsid w:val="001775C9"/>
    <w:rsid w:val="00177665"/>
    <w:rsid w:val="00180078"/>
    <w:rsid w:val="001806F7"/>
    <w:rsid w:val="00184388"/>
    <w:rsid w:val="001846B0"/>
    <w:rsid w:val="001854A6"/>
    <w:rsid w:val="00185A4C"/>
    <w:rsid w:val="0018641C"/>
    <w:rsid w:val="0019019E"/>
    <w:rsid w:val="00190D5D"/>
    <w:rsid w:val="00191401"/>
    <w:rsid w:val="00192513"/>
    <w:rsid w:val="00193963"/>
    <w:rsid w:val="00194A95"/>
    <w:rsid w:val="00194E7F"/>
    <w:rsid w:val="00195EB9"/>
    <w:rsid w:val="00196972"/>
    <w:rsid w:val="001972A8"/>
    <w:rsid w:val="001A0D50"/>
    <w:rsid w:val="001A0DAF"/>
    <w:rsid w:val="001A2546"/>
    <w:rsid w:val="001A25DA"/>
    <w:rsid w:val="001A3DE2"/>
    <w:rsid w:val="001A439C"/>
    <w:rsid w:val="001A46C4"/>
    <w:rsid w:val="001A4EBA"/>
    <w:rsid w:val="001A5383"/>
    <w:rsid w:val="001A5733"/>
    <w:rsid w:val="001A6B6B"/>
    <w:rsid w:val="001B0A67"/>
    <w:rsid w:val="001B27A4"/>
    <w:rsid w:val="001B2A40"/>
    <w:rsid w:val="001B3A5F"/>
    <w:rsid w:val="001B424A"/>
    <w:rsid w:val="001B4A56"/>
    <w:rsid w:val="001B64EE"/>
    <w:rsid w:val="001B66F6"/>
    <w:rsid w:val="001C191C"/>
    <w:rsid w:val="001C2142"/>
    <w:rsid w:val="001C28B0"/>
    <w:rsid w:val="001C4BE5"/>
    <w:rsid w:val="001C65FE"/>
    <w:rsid w:val="001D0BD3"/>
    <w:rsid w:val="001D0EE2"/>
    <w:rsid w:val="001D1B18"/>
    <w:rsid w:val="001D3E44"/>
    <w:rsid w:val="001D45DC"/>
    <w:rsid w:val="001D6AEB"/>
    <w:rsid w:val="001E0366"/>
    <w:rsid w:val="001E064C"/>
    <w:rsid w:val="001E156E"/>
    <w:rsid w:val="001E2E1E"/>
    <w:rsid w:val="001E5506"/>
    <w:rsid w:val="001E6432"/>
    <w:rsid w:val="001E77CF"/>
    <w:rsid w:val="001F0B26"/>
    <w:rsid w:val="002001FB"/>
    <w:rsid w:val="0020150D"/>
    <w:rsid w:val="002021B2"/>
    <w:rsid w:val="0020236E"/>
    <w:rsid w:val="00203B43"/>
    <w:rsid w:val="002042D8"/>
    <w:rsid w:val="002103AD"/>
    <w:rsid w:val="002129EA"/>
    <w:rsid w:val="00213ECE"/>
    <w:rsid w:val="00214BE6"/>
    <w:rsid w:val="00215689"/>
    <w:rsid w:val="00215CB1"/>
    <w:rsid w:val="00215FD6"/>
    <w:rsid w:val="0021630C"/>
    <w:rsid w:val="002166BB"/>
    <w:rsid w:val="00217E52"/>
    <w:rsid w:val="00221C65"/>
    <w:rsid w:val="002243BD"/>
    <w:rsid w:val="00225669"/>
    <w:rsid w:val="002256A4"/>
    <w:rsid w:val="00226022"/>
    <w:rsid w:val="00226561"/>
    <w:rsid w:val="0022670C"/>
    <w:rsid w:val="00226AD8"/>
    <w:rsid w:val="002271DF"/>
    <w:rsid w:val="002276F8"/>
    <w:rsid w:val="00230654"/>
    <w:rsid w:val="00230E40"/>
    <w:rsid w:val="00232C40"/>
    <w:rsid w:val="002334B3"/>
    <w:rsid w:val="00235A07"/>
    <w:rsid w:val="00242371"/>
    <w:rsid w:val="0024670C"/>
    <w:rsid w:val="002511B2"/>
    <w:rsid w:val="00252C18"/>
    <w:rsid w:val="00253FF7"/>
    <w:rsid w:val="00254D20"/>
    <w:rsid w:val="00254DA1"/>
    <w:rsid w:val="00255260"/>
    <w:rsid w:val="00260BEB"/>
    <w:rsid w:val="00265776"/>
    <w:rsid w:val="00267B31"/>
    <w:rsid w:val="002757BA"/>
    <w:rsid w:val="00275C69"/>
    <w:rsid w:val="00277ED7"/>
    <w:rsid w:val="00280A55"/>
    <w:rsid w:val="00282008"/>
    <w:rsid w:val="00282643"/>
    <w:rsid w:val="00284835"/>
    <w:rsid w:val="00284F54"/>
    <w:rsid w:val="00285F27"/>
    <w:rsid w:val="0028665E"/>
    <w:rsid w:val="00286E59"/>
    <w:rsid w:val="00287C31"/>
    <w:rsid w:val="00293095"/>
    <w:rsid w:val="0029393A"/>
    <w:rsid w:val="002A3426"/>
    <w:rsid w:val="002A4394"/>
    <w:rsid w:val="002A462D"/>
    <w:rsid w:val="002A4793"/>
    <w:rsid w:val="002A4968"/>
    <w:rsid w:val="002A65BF"/>
    <w:rsid w:val="002A7AC4"/>
    <w:rsid w:val="002B097A"/>
    <w:rsid w:val="002B0E05"/>
    <w:rsid w:val="002B2C5A"/>
    <w:rsid w:val="002B31C1"/>
    <w:rsid w:val="002B420F"/>
    <w:rsid w:val="002B6447"/>
    <w:rsid w:val="002B7314"/>
    <w:rsid w:val="002C0350"/>
    <w:rsid w:val="002C0943"/>
    <w:rsid w:val="002C161E"/>
    <w:rsid w:val="002C3072"/>
    <w:rsid w:val="002C363E"/>
    <w:rsid w:val="002C50DB"/>
    <w:rsid w:val="002D1A0C"/>
    <w:rsid w:val="002D27E5"/>
    <w:rsid w:val="002E01A4"/>
    <w:rsid w:val="002E2464"/>
    <w:rsid w:val="002E3949"/>
    <w:rsid w:val="002E3952"/>
    <w:rsid w:val="002E52B8"/>
    <w:rsid w:val="002E7E2F"/>
    <w:rsid w:val="002F0AC2"/>
    <w:rsid w:val="002F0DC7"/>
    <w:rsid w:val="002F4765"/>
    <w:rsid w:val="002F4D34"/>
    <w:rsid w:val="002F54D4"/>
    <w:rsid w:val="0030183B"/>
    <w:rsid w:val="0030717F"/>
    <w:rsid w:val="003074FC"/>
    <w:rsid w:val="003143EA"/>
    <w:rsid w:val="0031614D"/>
    <w:rsid w:val="00316799"/>
    <w:rsid w:val="00317243"/>
    <w:rsid w:val="00322207"/>
    <w:rsid w:val="0032776C"/>
    <w:rsid w:val="00332A04"/>
    <w:rsid w:val="00332CFC"/>
    <w:rsid w:val="003331BC"/>
    <w:rsid w:val="00333285"/>
    <w:rsid w:val="00334263"/>
    <w:rsid w:val="00335FF4"/>
    <w:rsid w:val="00337E40"/>
    <w:rsid w:val="0034432E"/>
    <w:rsid w:val="00345243"/>
    <w:rsid w:val="00345F41"/>
    <w:rsid w:val="00347348"/>
    <w:rsid w:val="00351D42"/>
    <w:rsid w:val="00352EA3"/>
    <w:rsid w:val="003537F1"/>
    <w:rsid w:val="0035644C"/>
    <w:rsid w:val="00360A84"/>
    <w:rsid w:val="003626CE"/>
    <w:rsid w:val="003627A2"/>
    <w:rsid w:val="00362BD9"/>
    <w:rsid w:val="003633F2"/>
    <w:rsid w:val="0036524B"/>
    <w:rsid w:val="00367125"/>
    <w:rsid w:val="00367497"/>
    <w:rsid w:val="00372F35"/>
    <w:rsid w:val="00373054"/>
    <w:rsid w:val="00373A09"/>
    <w:rsid w:val="00375321"/>
    <w:rsid w:val="00377999"/>
    <w:rsid w:val="003805BD"/>
    <w:rsid w:val="003825B3"/>
    <w:rsid w:val="0038429D"/>
    <w:rsid w:val="003907B0"/>
    <w:rsid w:val="00390E9C"/>
    <w:rsid w:val="00391694"/>
    <w:rsid w:val="00392402"/>
    <w:rsid w:val="003944EC"/>
    <w:rsid w:val="0039638E"/>
    <w:rsid w:val="0039678B"/>
    <w:rsid w:val="00397593"/>
    <w:rsid w:val="00397E46"/>
    <w:rsid w:val="003A11D2"/>
    <w:rsid w:val="003A3B92"/>
    <w:rsid w:val="003A423C"/>
    <w:rsid w:val="003A5114"/>
    <w:rsid w:val="003B08B4"/>
    <w:rsid w:val="003B0A91"/>
    <w:rsid w:val="003B192F"/>
    <w:rsid w:val="003B517D"/>
    <w:rsid w:val="003B7341"/>
    <w:rsid w:val="003C0AED"/>
    <w:rsid w:val="003C20A5"/>
    <w:rsid w:val="003C4513"/>
    <w:rsid w:val="003C5699"/>
    <w:rsid w:val="003C5AA3"/>
    <w:rsid w:val="003C7F5B"/>
    <w:rsid w:val="003D0651"/>
    <w:rsid w:val="003D1FAE"/>
    <w:rsid w:val="003D2FE4"/>
    <w:rsid w:val="003D3234"/>
    <w:rsid w:val="003D5DCF"/>
    <w:rsid w:val="003D5FF2"/>
    <w:rsid w:val="003D6A8C"/>
    <w:rsid w:val="003E4173"/>
    <w:rsid w:val="003E4A77"/>
    <w:rsid w:val="003E522F"/>
    <w:rsid w:val="003E5ED1"/>
    <w:rsid w:val="003E5F25"/>
    <w:rsid w:val="003E7942"/>
    <w:rsid w:val="003F03D2"/>
    <w:rsid w:val="003F19DC"/>
    <w:rsid w:val="003F34D3"/>
    <w:rsid w:val="003F3EDC"/>
    <w:rsid w:val="00400D3D"/>
    <w:rsid w:val="00402EDF"/>
    <w:rsid w:val="0041149E"/>
    <w:rsid w:val="00412857"/>
    <w:rsid w:val="0041298B"/>
    <w:rsid w:val="0041489E"/>
    <w:rsid w:val="004160E0"/>
    <w:rsid w:val="00416F63"/>
    <w:rsid w:val="00423FFF"/>
    <w:rsid w:val="004265CA"/>
    <w:rsid w:val="00427EA0"/>
    <w:rsid w:val="0043019D"/>
    <w:rsid w:val="00432A3D"/>
    <w:rsid w:val="00433ED5"/>
    <w:rsid w:val="004340A6"/>
    <w:rsid w:val="00436B12"/>
    <w:rsid w:val="00443D87"/>
    <w:rsid w:val="00445D0C"/>
    <w:rsid w:val="00447A23"/>
    <w:rsid w:val="00450080"/>
    <w:rsid w:val="0045023D"/>
    <w:rsid w:val="00453634"/>
    <w:rsid w:val="004542C7"/>
    <w:rsid w:val="0045676F"/>
    <w:rsid w:val="004571A6"/>
    <w:rsid w:val="004607C3"/>
    <w:rsid w:val="004620A2"/>
    <w:rsid w:val="00462891"/>
    <w:rsid w:val="0046348E"/>
    <w:rsid w:val="00464EB4"/>
    <w:rsid w:val="004677AC"/>
    <w:rsid w:val="00467CCC"/>
    <w:rsid w:val="00471151"/>
    <w:rsid w:val="0047215B"/>
    <w:rsid w:val="00474C51"/>
    <w:rsid w:val="00475A0D"/>
    <w:rsid w:val="00476050"/>
    <w:rsid w:val="00477FD7"/>
    <w:rsid w:val="004807BB"/>
    <w:rsid w:val="004810F9"/>
    <w:rsid w:val="0048197B"/>
    <w:rsid w:val="00481C8A"/>
    <w:rsid w:val="004837C7"/>
    <w:rsid w:val="00491FBD"/>
    <w:rsid w:val="00493F14"/>
    <w:rsid w:val="00493FB9"/>
    <w:rsid w:val="00494138"/>
    <w:rsid w:val="00494647"/>
    <w:rsid w:val="004951EA"/>
    <w:rsid w:val="00496AED"/>
    <w:rsid w:val="004A3891"/>
    <w:rsid w:val="004A3CAA"/>
    <w:rsid w:val="004B144A"/>
    <w:rsid w:val="004B2A2C"/>
    <w:rsid w:val="004B3434"/>
    <w:rsid w:val="004B34D3"/>
    <w:rsid w:val="004B5B9A"/>
    <w:rsid w:val="004C2783"/>
    <w:rsid w:val="004C2CDB"/>
    <w:rsid w:val="004C4309"/>
    <w:rsid w:val="004C4A79"/>
    <w:rsid w:val="004D029A"/>
    <w:rsid w:val="004D0598"/>
    <w:rsid w:val="004D10BF"/>
    <w:rsid w:val="004D159B"/>
    <w:rsid w:val="004D1D03"/>
    <w:rsid w:val="004D20C3"/>
    <w:rsid w:val="004D21C0"/>
    <w:rsid w:val="004D29CC"/>
    <w:rsid w:val="004D2AF7"/>
    <w:rsid w:val="004D4060"/>
    <w:rsid w:val="004D4A23"/>
    <w:rsid w:val="004D548F"/>
    <w:rsid w:val="004D5E2F"/>
    <w:rsid w:val="004D632A"/>
    <w:rsid w:val="004D68A8"/>
    <w:rsid w:val="004E212F"/>
    <w:rsid w:val="004E5BBF"/>
    <w:rsid w:val="004E77C1"/>
    <w:rsid w:val="004F2FF6"/>
    <w:rsid w:val="004F4ABC"/>
    <w:rsid w:val="00500ADB"/>
    <w:rsid w:val="00502086"/>
    <w:rsid w:val="00503748"/>
    <w:rsid w:val="00504874"/>
    <w:rsid w:val="00506E5B"/>
    <w:rsid w:val="00513BB4"/>
    <w:rsid w:val="0051470C"/>
    <w:rsid w:val="00514EDA"/>
    <w:rsid w:val="005205AD"/>
    <w:rsid w:val="00522780"/>
    <w:rsid w:val="00531FC2"/>
    <w:rsid w:val="00533D58"/>
    <w:rsid w:val="00535889"/>
    <w:rsid w:val="00540727"/>
    <w:rsid w:val="00541FF4"/>
    <w:rsid w:val="00543865"/>
    <w:rsid w:val="00543C17"/>
    <w:rsid w:val="00544470"/>
    <w:rsid w:val="00546EDE"/>
    <w:rsid w:val="00547DEB"/>
    <w:rsid w:val="005514BA"/>
    <w:rsid w:val="00551F89"/>
    <w:rsid w:val="00555E92"/>
    <w:rsid w:val="00556CE1"/>
    <w:rsid w:val="0056053C"/>
    <w:rsid w:val="0056305A"/>
    <w:rsid w:val="005639C4"/>
    <w:rsid w:val="00565EE1"/>
    <w:rsid w:val="00566E2A"/>
    <w:rsid w:val="005676A0"/>
    <w:rsid w:val="0057024C"/>
    <w:rsid w:val="00572031"/>
    <w:rsid w:val="00573B8F"/>
    <w:rsid w:val="0058607C"/>
    <w:rsid w:val="0058731C"/>
    <w:rsid w:val="00587B2A"/>
    <w:rsid w:val="0059075D"/>
    <w:rsid w:val="0059085F"/>
    <w:rsid w:val="00591781"/>
    <w:rsid w:val="00591BDA"/>
    <w:rsid w:val="00595787"/>
    <w:rsid w:val="005964D5"/>
    <w:rsid w:val="005A1B8B"/>
    <w:rsid w:val="005A2C88"/>
    <w:rsid w:val="005A4074"/>
    <w:rsid w:val="005A4792"/>
    <w:rsid w:val="005A7262"/>
    <w:rsid w:val="005B04C6"/>
    <w:rsid w:val="005B09D8"/>
    <w:rsid w:val="005B12B5"/>
    <w:rsid w:val="005B20B8"/>
    <w:rsid w:val="005B6BE2"/>
    <w:rsid w:val="005B6F40"/>
    <w:rsid w:val="005C0C90"/>
    <w:rsid w:val="005C1E2E"/>
    <w:rsid w:val="005C6F90"/>
    <w:rsid w:val="005D0747"/>
    <w:rsid w:val="005D2294"/>
    <w:rsid w:val="005D32A6"/>
    <w:rsid w:val="005D59CB"/>
    <w:rsid w:val="005D650C"/>
    <w:rsid w:val="005E191C"/>
    <w:rsid w:val="005E1BEA"/>
    <w:rsid w:val="005E1DDD"/>
    <w:rsid w:val="005F031A"/>
    <w:rsid w:val="005F06ED"/>
    <w:rsid w:val="005F0A6E"/>
    <w:rsid w:val="005F5106"/>
    <w:rsid w:val="005F654E"/>
    <w:rsid w:val="006002AB"/>
    <w:rsid w:val="00601233"/>
    <w:rsid w:val="00602786"/>
    <w:rsid w:val="00604230"/>
    <w:rsid w:val="00605344"/>
    <w:rsid w:val="006059EA"/>
    <w:rsid w:val="00607968"/>
    <w:rsid w:val="006106CC"/>
    <w:rsid w:val="0061211F"/>
    <w:rsid w:val="006138B5"/>
    <w:rsid w:val="006151F1"/>
    <w:rsid w:val="0061638D"/>
    <w:rsid w:val="0062361A"/>
    <w:rsid w:val="00623DC9"/>
    <w:rsid w:val="00626C1B"/>
    <w:rsid w:val="00627E25"/>
    <w:rsid w:val="00631F52"/>
    <w:rsid w:val="00634E84"/>
    <w:rsid w:val="006354DB"/>
    <w:rsid w:val="00640FFD"/>
    <w:rsid w:val="006442AE"/>
    <w:rsid w:val="0064449A"/>
    <w:rsid w:val="00646F2A"/>
    <w:rsid w:val="00650BD5"/>
    <w:rsid w:val="006510B7"/>
    <w:rsid w:val="00651C32"/>
    <w:rsid w:val="00652330"/>
    <w:rsid w:val="00653193"/>
    <w:rsid w:val="00653BA7"/>
    <w:rsid w:val="0065496D"/>
    <w:rsid w:val="00654BDA"/>
    <w:rsid w:val="00660705"/>
    <w:rsid w:val="0066196A"/>
    <w:rsid w:val="00663A8A"/>
    <w:rsid w:val="00667674"/>
    <w:rsid w:val="00670E07"/>
    <w:rsid w:val="006729DC"/>
    <w:rsid w:val="00674714"/>
    <w:rsid w:val="0067768E"/>
    <w:rsid w:val="00677F42"/>
    <w:rsid w:val="00681997"/>
    <w:rsid w:val="006819A6"/>
    <w:rsid w:val="00682CC2"/>
    <w:rsid w:val="006844C8"/>
    <w:rsid w:val="00685523"/>
    <w:rsid w:val="006956B9"/>
    <w:rsid w:val="00695D5F"/>
    <w:rsid w:val="00696356"/>
    <w:rsid w:val="00696792"/>
    <w:rsid w:val="00696CEE"/>
    <w:rsid w:val="006979ED"/>
    <w:rsid w:val="006A4E4B"/>
    <w:rsid w:val="006A55E1"/>
    <w:rsid w:val="006A5A48"/>
    <w:rsid w:val="006A76D1"/>
    <w:rsid w:val="006B3A18"/>
    <w:rsid w:val="006B3B2B"/>
    <w:rsid w:val="006B3C53"/>
    <w:rsid w:val="006B72C3"/>
    <w:rsid w:val="006B7647"/>
    <w:rsid w:val="006C0933"/>
    <w:rsid w:val="006C10B5"/>
    <w:rsid w:val="006C3B42"/>
    <w:rsid w:val="006C4A3B"/>
    <w:rsid w:val="006C4A4E"/>
    <w:rsid w:val="006C5B1C"/>
    <w:rsid w:val="006D003C"/>
    <w:rsid w:val="006D4156"/>
    <w:rsid w:val="006D64C7"/>
    <w:rsid w:val="006E0506"/>
    <w:rsid w:val="006E2B25"/>
    <w:rsid w:val="006E32B4"/>
    <w:rsid w:val="006E50E8"/>
    <w:rsid w:val="006E673F"/>
    <w:rsid w:val="006E6AF8"/>
    <w:rsid w:val="006F1F08"/>
    <w:rsid w:val="006F35A9"/>
    <w:rsid w:val="006F57BB"/>
    <w:rsid w:val="006F6528"/>
    <w:rsid w:val="006F6A87"/>
    <w:rsid w:val="006F7054"/>
    <w:rsid w:val="006F7938"/>
    <w:rsid w:val="0070097F"/>
    <w:rsid w:val="00700995"/>
    <w:rsid w:val="00702150"/>
    <w:rsid w:val="00702FC2"/>
    <w:rsid w:val="00703F81"/>
    <w:rsid w:val="00704C9C"/>
    <w:rsid w:val="007062FE"/>
    <w:rsid w:val="00706BAD"/>
    <w:rsid w:val="00707431"/>
    <w:rsid w:val="0071011F"/>
    <w:rsid w:val="00711027"/>
    <w:rsid w:val="00711137"/>
    <w:rsid w:val="00713ACA"/>
    <w:rsid w:val="0071505C"/>
    <w:rsid w:val="00716AB1"/>
    <w:rsid w:val="00717ABC"/>
    <w:rsid w:val="00723C2F"/>
    <w:rsid w:val="00725D42"/>
    <w:rsid w:val="007279D8"/>
    <w:rsid w:val="00730059"/>
    <w:rsid w:val="0073044B"/>
    <w:rsid w:val="00731AD2"/>
    <w:rsid w:val="00733FE6"/>
    <w:rsid w:val="00735D8A"/>
    <w:rsid w:val="00736732"/>
    <w:rsid w:val="00736927"/>
    <w:rsid w:val="00736D4E"/>
    <w:rsid w:val="00737C8D"/>
    <w:rsid w:val="007416BC"/>
    <w:rsid w:val="007416CC"/>
    <w:rsid w:val="00741A12"/>
    <w:rsid w:val="0074261B"/>
    <w:rsid w:val="00743A17"/>
    <w:rsid w:val="007452F3"/>
    <w:rsid w:val="00745F30"/>
    <w:rsid w:val="0074640C"/>
    <w:rsid w:val="00750B2C"/>
    <w:rsid w:val="00751726"/>
    <w:rsid w:val="0075482F"/>
    <w:rsid w:val="00754887"/>
    <w:rsid w:val="0075726C"/>
    <w:rsid w:val="00757BD6"/>
    <w:rsid w:val="00762861"/>
    <w:rsid w:val="00764D4C"/>
    <w:rsid w:val="00767286"/>
    <w:rsid w:val="0076742B"/>
    <w:rsid w:val="00771CFC"/>
    <w:rsid w:val="00772761"/>
    <w:rsid w:val="007732A8"/>
    <w:rsid w:val="00776FA9"/>
    <w:rsid w:val="00781CE4"/>
    <w:rsid w:val="00782148"/>
    <w:rsid w:val="00784737"/>
    <w:rsid w:val="00790AE8"/>
    <w:rsid w:val="00791AF8"/>
    <w:rsid w:val="0079216D"/>
    <w:rsid w:val="0079433F"/>
    <w:rsid w:val="00795BE8"/>
    <w:rsid w:val="0079740D"/>
    <w:rsid w:val="00797941"/>
    <w:rsid w:val="007A4ECD"/>
    <w:rsid w:val="007A6E27"/>
    <w:rsid w:val="007A74C6"/>
    <w:rsid w:val="007B1E05"/>
    <w:rsid w:val="007B43D0"/>
    <w:rsid w:val="007B44BE"/>
    <w:rsid w:val="007B773E"/>
    <w:rsid w:val="007C0F2A"/>
    <w:rsid w:val="007C2507"/>
    <w:rsid w:val="007C6DE1"/>
    <w:rsid w:val="007C701F"/>
    <w:rsid w:val="007C7480"/>
    <w:rsid w:val="007D36F8"/>
    <w:rsid w:val="007D3C87"/>
    <w:rsid w:val="007D415F"/>
    <w:rsid w:val="007D4ED9"/>
    <w:rsid w:val="007D62EC"/>
    <w:rsid w:val="007E0352"/>
    <w:rsid w:val="007E061B"/>
    <w:rsid w:val="007E0702"/>
    <w:rsid w:val="007E0951"/>
    <w:rsid w:val="007E1272"/>
    <w:rsid w:val="007E2544"/>
    <w:rsid w:val="007E2702"/>
    <w:rsid w:val="007E2947"/>
    <w:rsid w:val="007E357E"/>
    <w:rsid w:val="007E3A32"/>
    <w:rsid w:val="007E438A"/>
    <w:rsid w:val="007E4E0F"/>
    <w:rsid w:val="007E5D6D"/>
    <w:rsid w:val="007E60CF"/>
    <w:rsid w:val="007E6522"/>
    <w:rsid w:val="007F07CC"/>
    <w:rsid w:val="007F23C3"/>
    <w:rsid w:val="007F33F3"/>
    <w:rsid w:val="007F75D6"/>
    <w:rsid w:val="007F7909"/>
    <w:rsid w:val="007F7C4D"/>
    <w:rsid w:val="0080092A"/>
    <w:rsid w:val="0080226C"/>
    <w:rsid w:val="00802817"/>
    <w:rsid w:val="0080326C"/>
    <w:rsid w:val="008034C4"/>
    <w:rsid w:val="00803579"/>
    <w:rsid w:val="00803DF4"/>
    <w:rsid w:val="00805C11"/>
    <w:rsid w:val="00814BFE"/>
    <w:rsid w:val="008202AA"/>
    <w:rsid w:val="00825EC0"/>
    <w:rsid w:val="0082705D"/>
    <w:rsid w:val="0082776A"/>
    <w:rsid w:val="00830B99"/>
    <w:rsid w:val="00832259"/>
    <w:rsid w:val="00833550"/>
    <w:rsid w:val="00833F0C"/>
    <w:rsid w:val="00835625"/>
    <w:rsid w:val="00840CB2"/>
    <w:rsid w:val="00841728"/>
    <w:rsid w:val="00842990"/>
    <w:rsid w:val="0084387D"/>
    <w:rsid w:val="008444DC"/>
    <w:rsid w:val="00852099"/>
    <w:rsid w:val="00852B6B"/>
    <w:rsid w:val="00854D7C"/>
    <w:rsid w:val="00854ED1"/>
    <w:rsid w:val="00855E30"/>
    <w:rsid w:val="00856B4F"/>
    <w:rsid w:val="0086054F"/>
    <w:rsid w:val="00864676"/>
    <w:rsid w:val="008665F0"/>
    <w:rsid w:val="00866779"/>
    <w:rsid w:val="00866D45"/>
    <w:rsid w:val="00870EA7"/>
    <w:rsid w:val="00871B52"/>
    <w:rsid w:val="00872615"/>
    <w:rsid w:val="008761E0"/>
    <w:rsid w:val="008775AE"/>
    <w:rsid w:val="008801C4"/>
    <w:rsid w:val="00880A0F"/>
    <w:rsid w:val="00882F1E"/>
    <w:rsid w:val="008830EA"/>
    <w:rsid w:val="00883533"/>
    <w:rsid w:val="00885717"/>
    <w:rsid w:val="00891695"/>
    <w:rsid w:val="00893FD4"/>
    <w:rsid w:val="008945D7"/>
    <w:rsid w:val="008963EB"/>
    <w:rsid w:val="00896C63"/>
    <w:rsid w:val="008A0AE7"/>
    <w:rsid w:val="008A1307"/>
    <w:rsid w:val="008A31E9"/>
    <w:rsid w:val="008A4FD8"/>
    <w:rsid w:val="008B00A0"/>
    <w:rsid w:val="008B17C4"/>
    <w:rsid w:val="008B3D8F"/>
    <w:rsid w:val="008B3E5F"/>
    <w:rsid w:val="008B41A9"/>
    <w:rsid w:val="008B43B1"/>
    <w:rsid w:val="008B5DE1"/>
    <w:rsid w:val="008B6EEA"/>
    <w:rsid w:val="008C0502"/>
    <w:rsid w:val="008C05DD"/>
    <w:rsid w:val="008C142B"/>
    <w:rsid w:val="008C2E9C"/>
    <w:rsid w:val="008C47AD"/>
    <w:rsid w:val="008C6734"/>
    <w:rsid w:val="008C69F6"/>
    <w:rsid w:val="008D097E"/>
    <w:rsid w:val="008D0FCF"/>
    <w:rsid w:val="008D1C31"/>
    <w:rsid w:val="008D2243"/>
    <w:rsid w:val="008D4900"/>
    <w:rsid w:val="008D7AC7"/>
    <w:rsid w:val="008E16B7"/>
    <w:rsid w:val="008E40AC"/>
    <w:rsid w:val="008E42BE"/>
    <w:rsid w:val="008E4AA2"/>
    <w:rsid w:val="008E5113"/>
    <w:rsid w:val="008E51C9"/>
    <w:rsid w:val="008E6063"/>
    <w:rsid w:val="008E70C4"/>
    <w:rsid w:val="008E73AF"/>
    <w:rsid w:val="008E7DDA"/>
    <w:rsid w:val="008F16E8"/>
    <w:rsid w:val="008F3190"/>
    <w:rsid w:val="008F3981"/>
    <w:rsid w:val="008F545D"/>
    <w:rsid w:val="008F6706"/>
    <w:rsid w:val="00901A43"/>
    <w:rsid w:val="00905B5C"/>
    <w:rsid w:val="009061BF"/>
    <w:rsid w:val="00906B6C"/>
    <w:rsid w:val="00907258"/>
    <w:rsid w:val="00910D20"/>
    <w:rsid w:val="00911378"/>
    <w:rsid w:val="00911BE4"/>
    <w:rsid w:val="009130A7"/>
    <w:rsid w:val="00913686"/>
    <w:rsid w:val="0091515E"/>
    <w:rsid w:val="0091538A"/>
    <w:rsid w:val="0091623B"/>
    <w:rsid w:val="00917B4C"/>
    <w:rsid w:val="00922130"/>
    <w:rsid w:val="0092399F"/>
    <w:rsid w:val="0092626C"/>
    <w:rsid w:val="00927357"/>
    <w:rsid w:val="009310E0"/>
    <w:rsid w:val="00933AC7"/>
    <w:rsid w:val="00934F59"/>
    <w:rsid w:val="0093705E"/>
    <w:rsid w:val="00937E40"/>
    <w:rsid w:val="0094175C"/>
    <w:rsid w:val="0094471E"/>
    <w:rsid w:val="00950295"/>
    <w:rsid w:val="00951077"/>
    <w:rsid w:val="00952973"/>
    <w:rsid w:val="00952F62"/>
    <w:rsid w:val="009543CC"/>
    <w:rsid w:val="00954EA9"/>
    <w:rsid w:val="00954FA0"/>
    <w:rsid w:val="0095681C"/>
    <w:rsid w:val="00956B32"/>
    <w:rsid w:val="00957D7A"/>
    <w:rsid w:val="00963308"/>
    <w:rsid w:val="0096599F"/>
    <w:rsid w:val="00966C36"/>
    <w:rsid w:val="00967171"/>
    <w:rsid w:val="00971E76"/>
    <w:rsid w:val="00974F0D"/>
    <w:rsid w:val="009752B6"/>
    <w:rsid w:val="00975E92"/>
    <w:rsid w:val="009775F5"/>
    <w:rsid w:val="00977893"/>
    <w:rsid w:val="00984E02"/>
    <w:rsid w:val="00985E20"/>
    <w:rsid w:val="00987246"/>
    <w:rsid w:val="009913CA"/>
    <w:rsid w:val="00991A4B"/>
    <w:rsid w:val="009A1332"/>
    <w:rsid w:val="009A4A7C"/>
    <w:rsid w:val="009A7EF5"/>
    <w:rsid w:val="009B150A"/>
    <w:rsid w:val="009B184C"/>
    <w:rsid w:val="009B22AB"/>
    <w:rsid w:val="009B58EC"/>
    <w:rsid w:val="009B7D4F"/>
    <w:rsid w:val="009C0AB5"/>
    <w:rsid w:val="009C2083"/>
    <w:rsid w:val="009C2DAB"/>
    <w:rsid w:val="009C3077"/>
    <w:rsid w:val="009C3E39"/>
    <w:rsid w:val="009D1E53"/>
    <w:rsid w:val="009D2052"/>
    <w:rsid w:val="009D387B"/>
    <w:rsid w:val="009D5D4F"/>
    <w:rsid w:val="009E003F"/>
    <w:rsid w:val="009E0A08"/>
    <w:rsid w:val="009E116A"/>
    <w:rsid w:val="009E1371"/>
    <w:rsid w:val="009E23A6"/>
    <w:rsid w:val="009E259A"/>
    <w:rsid w:val="009E2CB8"/>
    <w:rsid w:val="009E4B0D"/>
    <w:rsid w:val="009E6559"/>
    <w:rsid w:val="009E7810"/>
    <w:rsid w:val="009F1124"/>
    <w:rsid w:val="009F1D82"/>
    <w:rsid w:val="009F293F"/>
    <w:rsid w:val="009F4C2F"/>
    <w:rsid w:val="00A00DC7"/>
    <w:rsid w:val="00A01189"/>
    <w:rsid w:val="00A02AA4"/>
    <w:rsid w:val="00A05074"/>
    <w:rsid w:val="00A052AF"/>
    <w:rsid w:val="00A075D8"/>
    <w:rsid w:val="00A10C39"/>
    <w:rsid w:val="00A11324"/>
    <w:rsid w:val="00A11F10"/>
    <w:rsid w:val="00A12D6E"/>
    <w:rsid w:val="00A15C1E"/>
    <w:rsid w:val="00A17F81"/>
    <w:rsid w:val="00A20127"/>
    <w:rsid w:val="00A304D8"/>
    <w:rsid w:val="00A3129E"/>
    <w:rsid w:val="00A32D8C"/>
    <w:rsid w:val="00A347DF"/>
    <w:rsid w:val="00A36005"/>
    <w:rsid w:val="00A36728"/>
    <w:rsid w:val="00A370DD"/>
    <w:rsid w:val="00A37696"/>
    <w:rsid w:val="00A40FB3"/>
    <w:rsid w:val="00A41C5A"/>
    <w:rsid w:val="00A41DD9"/>
    <w:rsid w:val="00A429DE"/>
    <w:rsid w:val="00A44081"/>
    <w:rsid w:val="00A4496D"/>
    <w:rsid w:val="00A45521"/>
    <w:rsid w:val="00A45A6B"/>
    <w:rsid w:val="00A47005"/>
    <w:rsid w:val="00A47D09"/>
    <w:rsid w:val="00A50229"/>
    <w:rsid w:val="00A52AF7"/>
    <w:rsid w:val="00A53093"/>
    <w:rsid w:val="00A57B41"/>
    <w:rsid w:val="00A64334"/>
    <w:rsid w:val="00A64A6E"/>
    <w:rsid w:val="00A6552B"/>
    <w:rsid w:val="00A6675D"/>
    <w:rsid w:val="00A70C7A"/>
    <w:rsid w:val="00A70F04"/>
    <w:rsid w:val="00A71550"/>
    <w:rsid w:val="00A749AD"/>
    <w:rsid w:val="00A751F1"/>
    <w:rsid w:val="00A7584A"/>
    <w:rsid w:val="00A764FB"/>
    <w:rsid w:val="00A771F6"/>
    <w:rsid w:val="00A8134C"/>
    <w:rsid w:val="00A8172D"/>
    <w:rsid w:val="00A81795"/>
    <w:rsid w:val="00A837F1"/>
    <w:rsid w:val="00A845BA"/>
    <w:rsid w:val="00A84E10"/>
    <w:rsid w:val="00A9196C"/>
    <w:rsid w:val="00A933CB"/>
    <w:rsid w:val="00A934A4"/>
    <w:rsid w:val="00A97D82"/>
    <w:rsid w:val="00AA1839"/>
    <w:rsid w:val="00AA24C7"/>
    <w:rsid w:val="00AA4FB6"/>
    <w:rsid w:val="00AA51D1"/>
    <w:rsid w:val="00AA5BDE"/>
    <w:rsid w:val="00AA70B0"/>
    <w:rsid w:val="00AB03BC"/>
    <w:rsid w:val="00AB0D3C"/>
    <w:rsid w:val="00AB15BB"/>
    <w:rsid w:val="00AB3B92"/>
    <w:rsid w:val="00AB484A"/>
    <w:rsid w:val="00AB4EBB"/>
    <w:rsid w:val="00AB5334"/>
    <w:rsid w:val="00AB534D"/>
    <w:rsid w:val="00AB5EF4"/>
    <w:rsid w:val="00AB6A2D"/>
    <w:rsid w:val="00AB7D89"/>
    <w:rsid w:val="00AC1490"/>
    <w:rsid w:val="00AC1799"/>
    <w:rsid w:val="00AC269F"/>
    <w:rsid w:val="00AC3FF4"/>
    <w:rsid w:val="00AC6B17"/>
    <w:rsid w:val="00AC743C"/>
    <w:rsid w:val="00AD264F"/>
    <w:rsid w:val="00AD61C7"/>
    <w:rsid w:val="00AD697D"/>
    <w:rsid w:val="00AE23D1"/>
    <w:rsid w:val="00AE23EA"/>
    <w:rsid w:val="00AE4B60"/>
    <w:rsid w:val="00AE55FE"/>
    <w:rsid w:val="00AE5835"/>
    <w:rsid w:val="00AF131C"/>
    <w:rsid w:val="00AF1726"/>
    <w:rsid w:val="00AF1D81"/>
    <w:rsid w:val="00AF2B74"/>
    <w:rsid w:val="00AF5891"/>
    <w:rsid w:val="00AF6160"/>
    <w:rsid w:val="00B002E2"/>
    <w:rsid w:val="00B0208E"/>
    <w:rsid w:val="00B033A6"/>
    <w:rsid w:val="00B04073"/>
    <w:rsid w:val="00B05686"/>
    <w:rsid w:val="00B05A2A"/>
    <w:rsid w:val="00B0648E"/>
    <w:rsid w:val="00B06B76"/>
    <w:rsid w:val="00B10ACC"/>
    <w:rsid w:val="00B13B83"/>
    <w:rsid w:val="00B167D8"/>
    <w:rsid w:val="00B1761F"/>
    <w:rsid w:val="00B21E27"/>
    <w:rsid w:val="00B22173"/>
    <w:rsid w:val="00B2367D"/>
    <w:rsid w:val="00B23B44"/>
    <w:rsid w:val="00B30B50"/>
    <w:rsid w:val="00B32114"/>
    <w:rsid w:val="00B3409D"/>
    <w:rsid w:val="00B3521E"/>
    <w:rsid w:val="00B3550A"/>
    <w:rsid w:val="00B358EE"/>
    <w:rsid w:val="00B359AC"/>
    <w:rsid w:val="00B37830"/>
    <w:rsid w:val="00B403A7"/>
    <w:rsid w:val="00B4142E"/>
    <w:rsid w:val="00B4172D"/>
    <w:rsid w:val="00B46562"/>
    <w:rsid w:val="00B477E2"/>
    <w:rsid w:val="00B525BB"/>
    <w:rsid w:val="00B52AD9"/>
    <w:rsid w:val="00B532B6"/>
    <w:rsid w:val="00B550F8"/>
    <w:rsid w:val="00B56ED1"/>
    <w:rsid w:val="00B572AA"/>
    <w:rsid w:val="00B61F1A"/>
    <w:rsid w:val="00B62BA4"/>
    <w:rsid w:val="00B63D64"/>
    <w:rsid w:val="00B656DA"/>
    <w:rsid w:val="00B660D1"/>
    <w:rsid w:val="00B662AF"/>
    <w:rsid w:val="00B66691"/>
    <w:rsid w:val="00B705FD"/>
    <w:rsid w:val="00B70B55"/>
    <w:rsid w:val="00B774D5"/>
    <w:rsid w:val="00B82267"/>
    <w:rsid w:val="00B82841"/>
    <w:rsid w:val="00B846E9"/>
    <w:rsid w:val="00B85906"/>
    <w:rsid w:val="00B85CCF"/>
    <w:rsid w:val="00B875CB"/>
    <w:rsid w:val="00B908AD"/>
    <w:rsid w:val="00B90C64"/>
    <w:rsid w:val="00B93A4B"/>
    <w:rsid w:val="00B94312"/>
    <w:rsid w:val="00BA2F8D"/>
    <w:rsid w:val="00BA43CF"/>
    <w:rsid w:val="00BA4982"/>
    <w:rsid w:val="00BA4A75"/>
    <w:rsid w:val="00BB2977"/>
    <w:rsid w:val="00BB7E5A"/>
    <w:rsid w:val="00BC017E"/>
    <w:rsid w:val="00BC0BDB"/>
    <w:rsid w:val="00BC61B8"/>
    <w:rsid w:val="00BC75F2"/>
    <w:rsid w:val="00BD0543"/>
    <w:rsid w:val="00BD07BF"/>
    <w:rsid w:val="00BD0E17"/>
    <w:rsid w:val="00BD1CC2"/>
    <w:rsid w:val="00BD448F"/>
    <w:rsid w:val="00BD6D8D"/>
    <w:rsid w:val="00BD799B"/>
    <w:rsid w:val="00BE0CF1"/>
    <w:rsid w:val="00BE1700"/>
    <w:rsid w:val="00BE1FF2"/>
    <w:rsid w:val="00BE2D24"/>
    <w:rsid w:val="00BE2E98"/>
    <w:rsid w:val="00BE388B"/>
    <w:rsid w:val="00BE4FD4"/>
    <w:rsid w:val="00BF0BE6"/>
    <w:rsid w:val="00BF3594"/>
    <w:rsid w:val="00BF5BB3"/>
    <w:rsid w:val="00C04F82"/>
    <w:rsid w:val="00C05777"/>
    <w:rsid w:val="00C05911"/>
    <w:rsid w:val="00C1100C"/>
    <w:rsid w:val="00C11860"/>
    <w:rsid w:val="00C13426"/>
    <w:rsid w:val="00C15A59"/>
    <w:rsid w:val="00C16799"/>
    <w:rsid w:val="00C20A45"/>
    <w:rsid w:val="00C20CC1"/>
    <w:rsid w:val="00C2186A"/>
    <w:rsid w:val="00C230CB"/>
    <w:rsid w:val="00C24C2A"/>
    <w:rsid w:val="00C259E1"/>
    <w:rsid w:val="00C25DE3"/>
    <w:rsid w:val="00C2738B"/>
    <w:rsid w:val="00C309D9"/>
    <w:rsid w:val="00C30D11"/>
    <w:rsid w:val="00C31E00"/>
    <w:rsid w:val="00C32C72"/>
    <w:rsid w:val="00C32F35"/>
    <w:rsid w:val="00C33A2C"/>
    <w:rsid w:val="00C35161"/>
    <w:rsid w:val="00C37AE6"/>
    <w:rsid w:val="00C40BB7"/>
    <w:rsid w:val="00C43E83"/>
    <w:rsid w:val="00C4427B"/>
    <w:rsid w:val="00C45D08"/>
    <w:rsid w:val="00C52CDC"/>
    <w:rsid w:val="00C55058"/>
    <w:rsid w:val="00C5639D"/>
    <w:rsid w:val="00C601A5"/>
    <w:rsid w:val="00C60E28"/>
    <w:rsid w:val="00C60EB7"/>
    <w:rsid w:val="00C62005"/>
    <w:rsid w:val="00C6434F"/>
    <w:rsid w:val="00C672BD"/>
    <w:rsid w:val="00C67D5D"/>
    <w:rsid w:val="00C67D87"/>
    <w:rsid w:val="00C7020F"/>
    <w:rsid w:val="00C73DEE"/>
    <w:rsid w:val="00C75264"/>
    <w:rsid w:val="00C77344"/>
    <w:rsid w:val="00C809CA"/>
    <w:rsid w:val="00C81D3E"/>
    <w:rsid w:val="00C82991"/>
    <w:rsid w:val="00C84D11"/>
    <w:rsid w:val="00C8639A"/>
    <w:rsid w:val="00C87600"/>
    <w:rsid w:val="00C9166F"/>
    <w:rsid w:val="00C93CFF"/>
    <w:rsid w:val="00C9583F"/>
    <w:rsid w:val="00CA00CE"/>
    <w:rsid w:val="00CA23AF"/>
    <w:rsid w:val="00CA2859"/>
    <w:rsid w:val="00CA310B"/>
    <w:rsid w:val="00CA3219"/>
    <w:rsid w:val="00CA5F9B"/>
    <w:rsid w:val="00CA7374"/>
    <w:rsid w:val="00CB15BD"/>
    <w:rsid w:val="00CB3592"/>
    <w:rsid w:val="00CB3D14"/>
    <w:rsid w:val="00CB3DEC"/>
    <w:rsid w:val="00CB4275"/>
    <w:rsid w:val="00CB4AE9"/>
    <w:rsid w:val="00CB67D0"/>
    <w:rsid w:val="00CB790F"/>
    <w:rsid w:val="00CC280C"/>
    <w:rsid w:val="00CC2A0E"/>
    <w:rsid w:val="00CC4153"/>
    <w:rsid w:val="00CC7109"/>
    <w:rsid w:val="00CC7A51"/>
    <w:rsid w:val="00CD2CE6"/>
    <w:rsid w:val="00CD7A77"/>
    <w:rsid w:val="00CE0E95"/>
    <w:rsid w:val="00CE0FAE"/>
    <w:rsid w:val="00CE17AA"/>
    <w:rsid w:val="00CE2FF3"/>
    <w:rsid w:val="00CE3F39"/>
    <w:rsid w:val="00CE5D32"/>
    <w:rsid w:val="00CF2F73"/>
    <w:rsid w:val="00CF369C"/>
    <w:rsid w:val="00CF4A80"/>
    <w:rsid w:val="00CF5E3A"/>
    <w:rsid w:val="00D00A2D"/>
    <w:rsid w:val="00D01750"/>
    <w:rsid w:val="00D017AD"/>
    <w:rsid w:val="00D01FBF"/>
    <w:rsid w:val="00D02C98"/>
    <w:rsid w:val="00D03F72"/>
    <w:rsid w:val="00D04F13"/>
    <w:rsid w:val="00D05749"/>
    <w:rsid w:val="00D1042C"/>
    <w:rsid w:val="00D110FE"/>
    <w:rsid w:val="00D11A87"/>
    <w:rsid w:val="00D13608"/>
    <w:rsid w:val="00D14520"/>
    <w:rsid w:val="00D14E39"/>
    <w:rsid w:val="00D150E7"/>
    <w:rsid w:val="00D16C89"/>
    <w:rsid w:val="00D1708A"/>
    <w:rsid w:val="00D2147F"/>
    <w:rsid w:val="00D21A16"/>
    <w:rsid w:val="00D229A0"/>
    <w:rsid w:val="00D22CBB"/>
    <w:rsid w:val="00D24D4C"/>
    <w:rsid w:val="00D261C6"/>
    <w:rsid w:val="00D26496"/>
    <w:rsid w:val="00D30463"/>
    <w:rsid w:val="00D30E16"/>
    <w:rsid w:val="00D30FD0"/>
    <w:rsid w:val="00D31270"/>
    <w:rsid w:val="00D31F67"/>
    <w:rsid w:val="00D3227E"/>
    <w:rsid w:val="00D4081B"/>
    <w:rsid w:val="00D426D4"/>
    <w:rsid w:val="00D431AE"/>
    <w:rsid w:val="00D43FE6"/>
    <w:rsid w:val="00D446BB"/>
    <w:rsid w:val="00D45412"/>
    <w:rsid w:val="00D46099"/>
    <w:rsid w:val="00D475B2"/>
    <w:rsid w:val="00D47698"/>
    <w:rsid w:val="00D504EF"/>
    <w:rsid w:val="00D50633"/>
    <w:rsid w:val="00D525DF"/>
    <w:rsid w:val="00D53681"/>
    <w:rsid w:val="00D56E06"/>
    <w:rsid w:val="00D6054A"/>
    <w:rsid w:val="00D60E21"/>
    <w:rsid w:val="00D612FF"/>
    <w:rsid w:val="00D6199F"/>
    <w:rsid w:val="00D61DE5"/>
    <w:rsid w:val="00D640BB"/>
    <w:rsid w:val="00D643E8"/>
    <w:rsid w:val="00D65556"/>
    <w:rsid w:val="00D66DAF"/>
    <w:rsid w:val="00D67158"/>
    <w:rsid w:val="00D67D0F"/>
    <w:rsid w:val="00D67E4F"/>
    <w:rsid w:val="00D74062"/>
    <w:rsid w:val="00D74258"/>
    <w:rsid w:val="00D77467"/>
    <w:rsid w:val="00D778A0"/>
    <w:rsid w:val="00D80B6B"/>
    <w:rsid w:val="00D82354"/>
    <w:rsid w:val="00D82AAF"/>
    <w:rsid w:val="00D852FD"/>
    <w:rsid w:val="00D93F4B"/>
    <w:rsid w:val="00D94930"/>
    <w:rsid w:val="00D94AA9"/>
    <w:rsid w:val="00DA0F06"/>
    <w:rsid w:val="00DA20EF"/>
    <w:rsid w:val="00DA2109"/>
    <w:rsid w:val="00DA2174"/>
    <w:rsid w:val="00DA2AB5"/>
    <w:rsid w:val="00DA3B90"/>
    <w:rsid w:val="00DA3C4D"/>
    <w:rsid w:val="00DB0550"/>
    <w:rsid w:val="00DB309F"/>
    <w:rsid w:val="00DB38A2"/>
    <w:rsid w:val="00DB4ABE"/>
    <w:rsid w:val="00DB59AC"/>
    <w:rsid w:val="00DC1D67"/>
    <w:rsid w:val="00DC2A1B"/>
    <w:rsid w:val="00DC3F53"/>
    <w:rsid w:val="00DC429E"/>
    <w:rsid w:val="00DC4A07"/>
    <w:rsid w:val="00DC7B45"/>
    <w:rsid w:val="00DD0B9D"/>
    <w:rsid w:val="00DD148D"/>
    <w:rsid w:val="00DD3010"/>
    <w:rsid w:val="00DD32A4"/>
    <w:rsid w:val="00DD48AA"/>
    <w:rsid w:val="00DD6D2F"/>
    <w:rsid w:val="00DD6DE1"/>
    <w:rsid w:val="00DD7C12"/>
    <w:rsid w:val="00DE0560"/>
    <w:rsid w:val="00DE206D"/>
    <w:rsid w:val="00DE44B2"/>
    <w:rsid w:val="00DE4BA0"/>
    <w:rsid w:val="00DE5432"/>
    <w:rsid w:val="00DF0868"/>
    <w:rsid w:val="00DF238D"/>
    <w:rsid w:val="00DF5ECF"/>
    <w:rsid w:val="00E00DB9"/>
    <w:rsid w:val="00E03A88"/>
    <w:rsid w:val="00E03A92"/>
    <w:rsid w:val="00E07615"/>
    <w:rsid w:val="00E100CC"/>
    <w:rsid w:val="00E119EF"/>
    <w:rsid w:val="00E11D4E"/>
    <w:rsid w:val="00E13172"/>
    <w:rsid w:val="00E16080"/>
    <w:rsid w:val="00E163EF"/>
    <w:rsid w:val="00E224D1"/>
    <w:rsid w:val="00E2275A"/>
    <w:rsid w:val="00E2275F"/>
    <w:rsid w:val="00E237A3"/>
    <w:rsid w:val="00E26EE8"/>
    <w:rsid w:val="00E30202"/>
    <w:rsid w:val="00E3358F"/>
    <w:rsid w:val="00E340DD"/>
    <w:rsid w:val="00E34C1A"/>
    <w:rsid w:val="00E36CBC"/>
    <w:rsid w:val="00E370BE"/>
    <w:rsid w:val="00E37853"/>
    <w:rsid w:val="00E40D99"/>
    <w:rsid w:val="00E42466"/>
    <w:rsid w:val="00E43652"/>
    <w:rsid w:val="00E44DAB"/>
    <w:rsid w:val="00E452E5"/>
    <w:rsid w:val="00E461A4"/>
    <w:rsid w:val="00E47CBA"/>
    <w:rsid w:val="00E47D7E"/>
    <w:rsid w:val="00E50D32"/>
    <w:rsid w:val="00E510FA"/>
    <w:rsid w:val="00E53EA1"/>
    <w:rsid w:val="00E5419E"/>
    <w:rsid w:val="00E5444D"/>
    <w:rsid w:val="00E54F13"/>
    <w:rsid w:val="00E5523D"/>
    <w:rsid w:val="00E5576D"/>
    <w:rsid w:val="00E56ABD"/>
    <w:rsid w:val="00E579CF"/>
    <w:rsid w:val="00E605BA"/>
    <w:rsid w:val="00E62EF6"/>
    <w:rsid w:val="00E63130"/>
    <w:rsid w:val="00E6498F"/>
    <w:rsid w:val="00E70F88"/>
    <w:rsid w:val="00E733DF"/>
    <w:rsid w:val="00E75258"/>
    <w:rsid w:val="00E75995"/>
    <w:rsid w:val="00E75D1C"/>
    <w:rsid w:val="00E763CD"/>
    <w:rsid w:val="00E76C35"/>
    <w:rsid w:val="00E76DBA"/>
    <w:rsid w:val="00E776DF"/>
    <w:rsid w:val="00E81B3D"/>
    <w:rsid w:val="00E82F2B"/>
    <w:rsid w:val="00E83533"/>
    <w:rsid w:val="00E83A4D"/>
    <w:rsid w:val="00E845ED"/>
    <w:rsid w:val="00E84EC7"/>
    <w:rsid w:val="00E85B5D"/>
    <w:rsid w:val="00E86463"/>
    <w:rsid w:val="00E8736C"/>
    <w:rsid w:val="00E92A74"/>
    <w:rsid w:val="00E933E0"/>
    <w:rsid w:val="00E93A09"/>
    <w:rsid w:val="00E97E0F"/>
    <w:rsid w:val="00EA0906"/>
    <w:rsid w:val="00EA0C2F"/>
    <w:rsid w:val="00EA1153"/>
    <w:rsid w:val="00EA4142"/>
    <w:rsid w:val="00EA65F9"/>
    <w:rsid w:val="00EB0845"/>
    <w:rsid w:val="00EB2031"/>
    <w:rsid w:val="00EB5190"/>
    <w:rsid w:val="00EB77CA"/>
    <w:rsid w:val="00EB795B"/>
    <w:rsid w:val="00EB7FEF"/>
    <w:rsid w:val="00EC1077"/>
    <w:rsid w:val="00EC15F0"/>
    <w:rsid w:val="00EC1802"/>
    <w:rsid w:val="00EC2319"/>
    <w:rsid w:val="00EC3FD9"/>
    <w:rsid w:val="00EC6AB1"/>
    <w:rsid w:val="00EC7AFE"/>
    <w:rsid w:val="00ED3114"/>
    <w:rsid w:val="00ED51EE"/>
    <w:rsid w:val="00ED5894"/>
    <w:rsid w:val="00ED7411"/>
    <w:rsid w:val="00ED79F2"/>
    <w:rsid w:val="00EE0DF5"/>
    <w:rsid w:val="00EE1F53"/>
    <w:rsid w:val="00EE6843"/>
    <w:rsid w:val="00EF1057"/>
    <w:rsid w:val="00EF1373"/>
    <w:rsid w:val="00EF2E0A"/>
    <w:rsid w:val="00EF3003"/>
    <w:rsid w:val="00EF41C5"/>
    <w:rsid w:val="00EF47F8"/>
    <w:rsid w:val="00EF5543"/>
    <w:rsid w:val="00EF5B2C"/>
    <w:rsid w:val="00EF78E1"/>
    <w:rsid w:val="00F03E7F"/>
    <w:rsid w:val="00F04884"/>
    <w:rsid w:val="00F0529C"/>
    <w:rsid w:val="00F10989"/>
    <w:rsid w:val="00F10DED"/>
    <w:rsid w:val="00F1126B"/>
    <w:rsid w:val="00F11893"/>
    <w:rsid w:val="00F130BB"/>
    <w:rsid w:val="00F1517C"/>
    <w:rsid w:val="00F16408"/>
    <w:rsid w:val="00F16E98"/>
    <w:rsid w:val="00F17327"/>
    <w:rsid w:val="00F17405"/>
    <w:rsid w:val="00F17B9D"/>
    <w:rsid w:val="00F202D5"/>
    <w:rsid w:val="00F202D8"/>
    <w:rsid w:val="00F21E4B"/>
    <w:rsid w:val="00F23350"/>
    <w:rsid w:val="00F235F5"/>
    <w:rsid w:val="00F24B8C"/>
    <w:rsid w:val="00F258AD"/>
    <w:rsid w:val="00F26442"/>
    <w:rsid w:val="00F26D47"/>
    <w:rsid w:val="00F26E46"/>
    <w:rsid w:val="00F30C4B"/>
    <w:rsid w:val="00F33762"/>
    <w:rsid w:val="00F378F3"/>
    <w:rsid w:val="00F37B38"/>
    <w:rsid w:val="00F4029A"/>
    <w:rsid w:val="00F41AD6"/>
    <w:rsid w:val="00F4295C"/>
    <w:rsid w:val="00F42CC3"/>
    <w:rsid w:val="00F42E23"/>
    <w:rsid w:val="00F44B16"/>
    <w:rsid w:val="00F45035"/>
    <w:rsid w:val="00F4735C"/>
    <w:rsid w:val="00F523E7"/>
    <w:rsid w:val="00F5300C"/>
    <w:rsid w:val="00F54AF6"/>
    <w:rsid w:val="00F55343"/>
    <w:rsid w:val="00F55F72"/>
    <w:rsid w:val="00F566C5"/>
    <w:rsid w:val="00F60CCE"/>
    <w:rsid w:val="00F63C7C"/>
    <w:rsid w:val="00F64331"/>
    <w:rsid w:val="00F64DD0"/>
    <w:rsid w:val="00F71FA4"/>
    <w:rsid w:val="00F7488B"/>
    <w:rsid w:val="00F74A22"/>
    <w:rsid w:val="00F74DFB"/>
    <w:rsid w:val="00F761A4"/>
    <w:rsid w:val="00F76E35"/>
    <w:rsid w:val="00F77541"/>
    <w:rsid w:val="00F77B2D"/>
    <w:rsid w:val="00F8160C"/>
    <w:rsid w:val="00F82588"/>
    <w:rsid w:val="00F84422"/>
    <w:rsid w:val="00F8748A"/>
    <w:rsid w:val="00F9027F"/>
    <w:rsid w:val="00F91782"/>
    <w:rsid w:val="00F9259B"/>
    <w:rsid w:val="00F9408D"/>
    <w:rsid w:val="00F94CA5"/>
    <w:rsid w:val="00F96F1A"/>
    <w:rsid w:val="00F97574"/>
    <w:rsid w:val="00FA1B7A"/>
    <w:rsid w:val="00FA2A2A"/>
    <w:rsid w:val="00FA3599"/>
    <w:rsid w:val="00FA6641"/>
    <w:rsid w:val="00FA7E93"/>
    <w:rsid w:val="00FB191D"/>
    <w:rsid w:val="00FB1CE6"/>
    <w:rsid w:val="00FB5C35"/>
    <w:rsid w:val="00FC099D"/>
    <w:rsid w:val="00FC297A"/>
    <w:rsid w:val="00FC496F"/>
    <w:rsid w:val="00FC5380"/>
    <w:rsid w:val="00FC757A"/>
    <w:rsid w:val="00FD075A"/>
    <w:rsid w:val="00FD63E9"/>
    <w:rsid w:val="00FD6F4F"/>
    <w:rsid w:val="00FD7203"/>
    <w:rsid w:val="00FE173F"/>
    <w:rsid w:val="00FE3A0D"/>
    <w:rsid w:val="00FE3A80"/>
    <w:rsid w:val="00FE50D9"/>
    <w:rsid w:val="00FE7BB4"/>
    <w:rsid w:val="00FF05B1"/>
    <w:rsid w:val="00FF0DF5"/>
    <w:rsid w:val="00FF16E9"/>
    <w:rsid w:val="00FF1962"/>
    <w:rsid w:val="00FF2977"/>
    <w:rsid w:val="00FF4601"/>
    <w:rsid w:val="00FF47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32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76">
    <w:lsdException w:name="Normal" w:semiHidden="0"/>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99"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99"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uiPriority="61"/>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uiPriority="67"/>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uiPriority="6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5243"/>
    <w:rPr>
      <w:rFonts w:ascii="Arial" w:hAnsi="Arial"/>
      <w:lang w:val="en-GB"/>
    </w:rPr>
  </w:style>
  <w:style w:type="paragraph" w:styleId="Heading1">
    <w:name w:val="heading 1"/>
    <w:basedOn w:val="Normal"/>
    <w:next w:val="Normal"/>
    <w:link w:val="Heading1Char"/>
    <w:autoRedefine/>
    <w:qFormat/>
    <w:rsid w:val="00F26D47"/>
    <w:pPr>
      <w:keepNext/>
      <w:keepLines/>
      <w:numPr>
        <w:numId w:val="25"/>
      </w:numPr>
      <w:spacing w:after="480"/>
      <w:jc w:val="both"/>
      <w:outlineLvl w:val="0"/>
    </w:pPr>
    <w:rPr>
      <w:rFonts w:eastAsiaTheme="majorEastAsia" w:cs="Arial"/>
      <w:bCs/>
      <w:color w:val="31849B" w:themeColor="accent5" w:themeShade="BF"/>
      <w:sz w:val="28"/>
      <w:szCs w:val="26"/>
    </w:rPr>
  </w:style>
  <w:style w:type="paragraph" w:styleId="Heading2">
    <w:name w:val="heading 2"/>
    <w:basedOn w:val="Normal"/>
    <w:next w:val="Normal"/>
    <w:link w:val="Heading2Char"/>
    <w:autoRedefine/>
    <w:unhideWhenUsed/>
    <w:qFormat/>
    <w:rsid w:val="00A3129E"/>
    <w:pPr>
      <w:keepNext/>
      <w:keepLines/>
      <w:numPr>
        <w:ilvl w:val="1"/>
        <w:numId w:val="25"/>
      </w:numPr>
      <w:spacing w:before="120" w:after="240"/>
      <w:jc w:val="both"/>
      <w:outlineLvl w:val="1"/>
    </w:pPr>
    <w:rPr>
      <w:rFonts w:ascii="Helvetica" w:eastAsiaTheme="majorEastAsia" w:hAnsi="Helvetica" w:cstheme="majorBidi"/>
      <w:bCs/>
      <w:color w:val="31849B" w:themeColor="accent5" w:themeShade="BF"/>
    </w:rPr>
  </w:style>
  <w:style w:type="paragraph" w:styleId="Heading3">
    <w:name w:val="heading 3"/>
    <w:basedOn w:val="Normal"/>
    <w:next w:val="Normal"/>
    <w:link w:val="Heading3Char"/>
    <w:autoRedefine/>
    <w:unhideWhenUsed/>
    <w:qFormat/>
    <w:rsid w:val="004C4A79"/>
    <w:pPr>
      <w:keepNext/>
      <w:keepLines/>
      <w:numPr>
        <w:ilvl w:val="2"/>
        <w:numId w:val="25"/>
      </w:numPr>
      <w:spacing w:before="120" w:after="120"/>
      <w:jc w:val="both"/>
      <w:outlineLvl w:val="2"/>
    </w:pPr>
    <w:rPr>
      <w:rFonts w:eastAsiaTheme="majorEastAsia" w:cs="Arial"/>
      <w:bCs/>
      <w:color w:val="31849B" w:themeColor="accent5" w:themeShade="BF"/>
    </w:rPr>
  </w:style>
  <w:style w:type="paragraph" w:styleId="Heading4">
    <w:name w:val="heading 4"/>
    <w:basedOn w:val="Normal"/>
    <w:next w:val="Normal"/>
    <w:link w:val="Heading4Char"/>
    <w:unhideWhenUsed/>
    <w:qFormat/>
    <w:rsid w:val="00711027"/>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11027"/>
    <w:pPr>
      <w:keepNext/>
      <w:keepLines/>
      <w:numPr>
        <w:ilvl w:val="4"/>
        <w:numId w:val="25"/>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nhideWhenUsed/>
    <w:qFormat/>
    <w:rsid w:val="00711027"/>
    <w:pPr>
      <w:keepNext/>
      <w:keepLines/>
      <w:numPr>
        <w:ilvl w:val="5"/>
        <w:numId w:val="25"/>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711027"/>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1027"/>
    <w:pPr>
      <w:keepNext/>
      <w:keepLines/>
      <w:numPr>
        <w:ilvl w:val="7"/>
        <w:numId w:val="25"/>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711027"/>
    <w:pPr>
      <w:keepNext/>
      <w:keepLines/>
      <w:numPr>
        <w:ilvl w:val="8"/>
        <w:numId w:val="25"/>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B82267"/>
    <w:rPr>
      <w:rFonts w:ascii="Lucida Grande" w:hAnsi="Lucida Grande" w:cs="Lucida Grande"/>
      <w:sz w:val="18"/>
      <w:szCs w:val="18"/>
    </w:rPr>
  </w:style>
  <w:style w:type="character" w:customStyle="1" w:styleId="BalloonTextChar">
    <w:name w:val="Balloon Text Char"/>
    <w:basedOn w:val="DefaultParagraphFont"/>
    <w:uiPriority w:val="99"/>
    <w:semiHidden/>
    <w:rsid w:val="000C4A5B"/>
    <w:rPr>
      <w:rFonts w:ascii="Lucida Grande" w:hAnsi="Lucida Grande"/>
      <w:sz w:val="18"/>
      <w:szCs w:val="18"/>
    </w:rPr>
  </w:style>
  <w:style w:type="character" w:customStyle="1" w:styleId="Heading1Char">
    <w:name w:val="Heading 1 Char"/>
    <w:basedOn w:val="DefaultParagraphFont"/>
    <w:link w:val="Heading1"/>
    <w:rsid w:val="00F26D47"/>
    <w:rPr>
      <w:rFonts w:ascii="Arial" w:eastAsiaTheme="majorEastAsia" w:hAnsi="Arial" w:cs="Arial"/>
      <w:bCs/>
      <w:color w:val="31849B" w:themeColor="accent5" w:themeShade="BF"/>
      <w:sz w:val="28"/>
      <w:szCs w:val="26"/>
      <w:lang w:val="en-GB"/>
    </w:rPr>
  </w:style>
  <w:style w:type="character" w:customStyle="1" w:styleId="Heading2Char">
    <w:name w:val="Heading 2 Char"/>
    <w:basedOn w:val="DefaultParagraphFont"/>
    <w:link w:val="Heading2"/>
    <w:rsid w:val="00A3129E"/>
    <w:rPr>
      <w:rFonts w:ascii="Helvetica" w:eastAsiaTheme="majorEastAsia" w:hAnsi="Helvetica" w:cstheme="majorBidi"/>
      <w:bCs/>
      <w:color w:val="31849B" w:themeColor="accent5" w:themeShade="BF"/>
      <w:lang w:val="en-GB"/>
    </w:rPr>
  </w:style>
  <w:style w:type="character" w:customStyle="1" w:styleId="Heading3Char">
    <w:name w:val="Heading 3 Char"/>
    <w:basedOn w:val="DefaultParagraphFont"/>
    <w:link w:val="Heading3"/>
    <w:rsid w:val="004C4A79"/>
    <w:rPr>
      <w:rFonts w:ascii="Arial" w:eastAsiaTheme="majorEastAsia" w:hAnsi="Arial" w:cs="Arial"/>
      <w:bCs/>
      <w:color w:val="31849B" w:themeColor="accent5" w:themeShade="BF"/>
      <w:lang w:val="en-GB"/>
    </w:rPr>
  </w:style>
  <w:style w:type="character" w:customStyle="1" w:styleId="Heading4Char">
    <w:name w:val="Heading 4 Char"/>
    <w:basedOn w:val="DefaultParagraphFont"/>
    <w:link w:val="Heading4"/>
    <w:rsid w:val="00711027"/>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rsid w:val="00711027"/>
    <w:rPr>
      <w:rFonts w:asciiTheme="majorHAnsi" w:eastAsiaTheme="majorEastAsia" w:hAnsiTheme="majorHAnsi" w:cstheme="majorBidi"/>
      <w:color w:val="244061" w:themeColor="accent1" w:themeShade="80"/>
      <w:lang w:val="en-GB"/>
    </w:rPr>
  </w:style>
  <w:style w:type="character" w:customStyle="1" w:styleId="Heading6Char">
    <w:name w:val="Heading 6 Char"/>
    <w:basedOn w:val="DefaultParagraphFont"/>
    <w:link w:val="Heading6"/>
    <w:rsid w:val="00711027"/>
    <w:rPr>
      <w:rFonts w:asciiTheme="majorHAnsi" w:eastAsiaTheme="majorEastAsia" w:hAnsiTheme="majorHAnsi" w:cstheme="majorBidi"/>
      <w:i/>
      <w:iCs/>
      <w:color w:val="244061" w:themeColor="accent1" w:themeShade="80"/>
      <w:lang w:val="en-GB"/>
    </w:rPr>
  </w:style>
  <w:style w:type="character" w:customStyle="1" w:styleId="Heading7Char">
    <w:name w:val="Heading 7 Char"/>
    <w:basedOn w:val="DefaultParagraphFont"/>
    <w:link w:val="Heading7"/>
    <w:uiPriority w:val="9"/>
    <w:semiHidden/>
    <w:rsid w:val="0071102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11027"/>
    <w:rPr>
      <w:rFonts w:asciiTheme="majorHAnsi" w:eastAsiaTheme="majorEastAsia" w:hAnsiTheme="majorHAnsi" w:cstheme="majorBidi"/>
      <w:color w:val="363636" w:themeColor="text1" w:themeTint="C9"/>
      <w:sz w:val="20"/>
      <w:szCs w:val="20"/>
      <w:lang w:val="en-GB"/>
    </w:rPr>
  </w:style>
  <w:style w:type="character" w:customStyle="1" w:styleId="Heading9Char">
    <w:name w:val="Heading 9 Char"/>
    <w:basedOn w:val="DefaultParagraphFont"/>
    <w:link w:val="Heading9"/>
    <w:uiPriority w:val="9"/>
    <w:semiHidden/>
    <w:rsid w:val="00711027"/>
    <w:rPr>
      <w:rFonts w:asciiTheme="majorHAnsi" w:eastAsiaTheme="majorEastAsia" w:hAnsiTheme="majorHAnsi" w:cstheme="majorBidi"/>
      <w:i/>
      <w:iCs/>
      <w:color w:val="363636" w:themeColor="text1" w:themeTint="C9"/>
      <w:sz w:val="20"/>
      <w:szCs w:val="20"/>
      <w:lang w:val="en-GB"/>
    </w:rPr>
  </w:style>
  <w:style w:type="character" w:customStyle="1" w:styleId="BalloonTextChar1">
    <w:name w:val="Balloon Text Char1"/>
    <w:basedOn w:val="DefaultParagraphFont"/>
    <w:link w:val="BalloonText"/>
    <w:uiPriority w:val="99"/>
    <w:semiHidden/>
    <w:rsid w:val="00B82267"/>
    <w:rPr>
      <w:rFonts w:ascii="Lucida Grande" w:hAnsi="Lucida Grande" w:cs="Lucida Grande"/>
      <w:sz w:val="18"/>
      <w:szCs w:val="18"/>
    </w:rPr>
  </w:style>
  <w:style w:type="character" w:customStyle="1" w:styleId="BalloonTextChar0">
    <w:name w:val="Balloon Text Char"/>
    <w:basedOn w:val="DefaultParagraphFont"/>
    <w:uiPriority w:val="99"/>
    <w:semiHidden/>
    <w:rsid w:val="00A016DB"/>
    <w:rPr>
      <w:rFonts w:ascii="Lucida Grande" w:hAnsi="Lucida Grande"/>
      <w:sz w:val="18"/>
      <w:szCs w:val="18"/>
    </w:rPr>
  </w:style>
  <w:style w:type="character" w:customStyle="1" w:styleId="BalloonTextChar2">
    <w:name w:val="Balloon Text Char"/>
    <w:basedOn w:val="DefaultParagraphFont"/>
    <w:uiPriority w:val="99"/>
    <w:semiHidden/>
    <w:rsid w:val="00A016DB"/>
    <w:rPr>
      <w:rFonts w:ascii="Lucida Grande" w:hAnsi="Lucida Grande"/>
      <w:sz w:val="18"/>
      <w:szCs w:val="18"/>
    </w:rPr>
  </w:style>
  <w:style w:type="character" w:customStyle="1" w:styleId="BalloonTextChar3">
    <w:name w:val="Balloon Text Char"/>
    <w:basedOn w:val="DefaultParagraphFont"/>
    <w:uiPriority w:val="99"/>
    <w:semiHidden/>
    <w:rsid w:val="00FC252A"/>
    <w:rPr>
      <w:rFonts w:ascii="Lucida Grande" w:hAnsi="Lucida Grande"/>
      <w:sz w:val="18"/>
      <w:szCs w:val="18"/>
    </w:rPr>
  </w:style>
  <w:style w:type="character" w:customStyle="1" w:styleId="BalloonTextChar4">
    <w:name w:val="Balloon Text Char"/>
    <w:basedOn w:val="DefaultParagraphFont"/>
    <w:uiPriority w:val="99"/>
    <w:semiHidden/>
    <w:rsid w:val="00FC252A"/>
    <w:rPr>
      <w:rFonts w:ascii="Lucida Grande" w:hAnsi="Lucida Grande"/>
      <w:sz w:val="18"/>
      <w:szCs w:val="18"/>
    </w:rPr>
  </w:style>
  <w:style w:type="character" w:customStyle="1" w:styleId="BalloonTextChar5">
    <w:name w:val="Balloon Text Char"/>
    <w:basedOn w:val="DefaultParagraphFont"/>
    <w:uiPriority w:val="99"/>
    <w:semiHidden/>
    <w:rsid w:val="00FC252A"/>
    <w:rPr>
      <w:rFonts w:ascii="Lucida Grande" w:hAnsi="Lucida Grande"/>
      <w:sz w:val="18"/>
      <w:szCs w:val="18"/>
    </w:rPr>
  </w:style>
  <w:style w:type="character" w:customStyle="1" w:styleId="BalloonTextChar6">
    <w:name w:val="Balloon Text Char"/>
    <w:basedOn w:val="DefaultParagraphFont"/>
    <w:uiPriority w:val="99"/>
    <w:rsid w:val="00FC252A"/>
    <w:rPr>
      <w:rFonts w:ascii="Lucida Grande" w:hAnsi="Lucida Grande"/>
      <w:sz w:val="18"/>
      <w:szCs w:val="18"/>
    </w:rPr>
  </w:style>
  <w:style w:type="paragraph" w:styleId="FootnoteText">
    <w:name w:val="footnote text"/>
    <w:basedOn w:val="Normal"/>
    <w:link w:val="FootnoteTextChar"/>
    <w:uiPriority w:val="99"/>
    <w:unhideWhenUsed/>
    <w:rsid w:val="001972A8"/>
  </w:style>
  <w:style w:type="character" w:customStyle="1" w:styleId="FootnoteTextChar">
    <w:name w:val="Footnote Text Char"/>
    <w:basedOn w:val="DefaultParagraphFont"/>
    <w:link w:val="FootnoteText"/>
    <w:uiPriority w:val="99"/>
    <w:rsid w:val="001972A8"/>
  </w:style>
  <w:style w:type="character" w:styleId="FootnoteReference">
    <w:name w:val="footnote reference"/>
    <w:basedOn w:val="DefaultParagraphFont"/>
    <w:uiPriority w:val="99"/>
    <w:unhideWhenUsed/>
    <w:rsid w:val="001972A8"/>
    <w:rPr>
      <w:vertAlign w:val="superscript"/>
    </w:rPr>
  </w:style>
  <w:style w:type="paragraph" w:styleId="ListParagraph">
    <w:name w:val="List Paragraph"/>
    <w:basedOn w:val="Normal"/>
    <w:uiPriority w:val="34"/>
    <w:qFormat/>
    <w:rsid w:val="008665F0"/>
    <w:pPr>
      <w:numPr>
        <w:numId w:val="8"/>
      </w:numPr>
      <w:contextualSpacing/>
    </w:pPr>
  </w:style>
  <w:style w:type="character" w:styleId="CommentReference">
    <w:name w:val="annotation reference"/>
    <w:basedOn w:val="DefaultParagraphFont"/>
    <w:uiPriority w:val="99"/>
    <w:semiHidden/>
    <w:unhideWhenUsed/>
    <w:rsid w:val="00FE3A0D"/>
    <w:rPr>
      <w:sz w:val="18"/>
      <w:szCs w:val="18"/>
    </w:rPr>
  </w:style>
  <w:style w:type="paragraph" w:styleId="CommentText">
    <w:name w:val="annotation text"/>
    <w:basedOn w:val="Normal"/>
    <w:link w:val="CommentTextChar"/>
    <w:uiPriority w:val="99"/>
    <w:semiHidden/>
    <w:unhideWhenUsed/>
    <w:rsid w:val="00FE3A0D"/>
  </w:style>
  <w:style w:type="character" w:customStyle="1" w:styleId="CommentTextChar">
    <w:name w:val="Comment Text Char"/>
    <w:basedOn w:val="DefaultParagraphFont"/>
    <w:link w:val="CommentText"/>
    <w:uiPriority w:val="99"/>
    <w:semiHidden/>
    <w:rsid w:val="00FE3A0D"/>
  </w:style>
  <w:style w:type="paragraph" w:styleId="CommentSubject">
    <w:name w:val="annotation subject"/>
    <w:basedOn w:val="CommentText"/>
    <w:next w:val="CommentText"/>
    <w:link w:val="CommentSubjectChar"/>
    <w:uiPriority w:val="99"/>
    <w:semiHidden/>
    <w:unhideWhenUsed/>
    <w:rsid w:val="00FE3A0D"/>
    <w:rPr>
      <w:b/>
      <w:bCs/>
      <w:sz w:val="20"/>
      <w:szCs w:val="20"/>
    </w:rPr>
  </w:style>
  <w:style w:type="character" w:customStyle="1" w:styleId="CommentSubjectChar">
    <w:name w:val="Comment Subject Char"/>
    <w:basedOn w:val="CommentTextChar"/>
    <w:link w:val="CommentSubject"/>
    <w:uiPriority w:val="99"/>
    <w:semiHidden/>
    <w:rsid w:val="00FE3A0D"/>
    <w:rPr>
      <w:b/>
      <w:bCs/>
      <w:sz w:val="20"/>
      <w:szCs w:val="20"/>
    </w:rPr>
  </w:style>
  <w:style w:type="paragraph" w:styleId="Header">
    <w:name w:val="header"/>
    <w:basedOn w:val="Normal"/>
    <w:link w:val="HeaderChar"/>
    <w:uiPriority w:val="99"/>
    <w:unhideWhenUsed/>
    <w:rsid w:val="00711027"/>
    <w:pPr>
      <w:tabs>
        <w:tab w:val="center" w:pos="4320"/>
        <w:tab w:val="right" w:pos="8640"/>
      </w:tabs>
    </w:pPr>
  </w:style>
  <w:style w:type="character" w:customStyle="1" w:styleId="HeaderChar">
    <w:name w:val="Header Char"/>
    <w:basedOn w:val="DefaultParagraphFont"/>
    <w:link w:val="Header"/>
    <w:uiPriority w:val="99"/>
    <w:rsid w:val="00711027"/>
  </w:style>
  <w:style w:type="paragraph" w:styleId="Footer">
    <w:name w:val="footer"/>
    <w:basedOn w:val="Normal"/>
    <w:link w:val="FooterChar"/>
    <w:unhideWhenUsed/>
    <w:rsid w:val="00711027"/>
    <w:pPr>
      <w:tabs>
        <w:tab w:val="center" w:pos="4320"/>
        <w:tab w:val="right" w:pos="8640"/>
      </w:tabs>
    </w:pPr>
  </w:style>
  <w:style w:type="character" w:customStyle="1" w:styleId="FooterChar">
    <w:name w:val="Footer Char"/>
    <w:basedOn w:val="DefaultParagraphFont"/>
    <w:link w:val="Footer"/>
    <w:uiPriority w:val="99"/>
    <w:rsid w:val="00711027"/>
  </w:style>
  <w:style w:type="paragraph" w:styleId="NormalWeb">
    <w:name w:val="Normal (Web)"/>
    <w:basedOn w:val="Normal"/>
    <w:uiPriority w:val="99"/>
    <w:rsid w:val="007F07CC"/>
    <w:pPr>
      <w:spacing w:beforeLines="1" w:afterLines="1"/>
    </w:pPr>
    <w:rPr>
      <w:rFonts w:ascii="Times" w:hAnsi="Times" w:cs="Times New Roman"/>
      <w:sz w:val="20"/>
      <w:szCs w:val="20"/>
      <w:lang w:val="en-US"/>
    </w:rPr>
  </w:style>
  <w:style w:type="paragraph" w:styleId="Caption">
    <w:name w:val="caption"/>
    <w:basedOn w:val="Normal"/>
    <w:next w:val="Normal"/>
    <w:rsid w:val="003F3EDC"/>
    <w:pPr>
      <w:spacing w:after="200"/>
    </w:pPr>
    <w:rPr>
      <w:b/>
      <w:bCs/>
      <w:color w:val="4F81BD" w:themeColor="accent1"/>
      <w:sz w:val="18"/>
      <w:szCs w:val="18"/>
    </w:rPr>
  </w:style>
  <w:style w:type="paragraph" w:customStyle="1" w:styleId="TableList">
    <w:name w:val="TableList"/>
    <w:basedOn w:val="ListParagraph"/>
    <w:autoRedefine/>
    <w:qFormat/>
    <w:rsid w:val="00EB2031"/>
    <w:pPr>
      <w:widowControl w:val="0"/>
      <w:numPr>
        <w:numId w:val="44"/>
      </w:numPr>
      <w:tabs>
        <w:tab w:val="left" w:pos="993"/>
      </w:tabs>
      <w:autoSpaceDE w:val="0"/>
      <w:autoSpaceDN w:val="0"/>
      <w:adjustRightInd w:val="0"/>
      <w:jc w:val="both"/>
    </w:pPr>
    <w:rPr>
      <w:rFonts w:cs="Arial"/>
      <w:color w:val="0000FF"/>
      <w:sz w:val="22"/>
    </w:rPr>
  </w:style>
  <w:style w:type="character" w:styleId="Hyperlink">
    <w:name w:val="Hyperlink"/>
    <w:basedOn w:val="DefaultParagraphFont"/>
    <w:uiPriority w:val="99"/>
    <w:rsid w:val="00984E02"/>
    <w:rPr>
      <w:color w:val="0000FF" w:themeColor="hyperlink"/>
      <w:u w:val="single"/>
    </w:rPr>
  </w:style>
  <w:style w:type="table" w:styleId="TableGrid">
    <w:name w:val="Table Grid"/>
    <w:basedOn w:val="TableNormal"/>
    <w:uiPriority w:val="59"/>
    <w:rsid w:val="00D774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igureList">
    <w:name w:val="FigureList"/>
    <w:basedOn w:val="TableList"/>
    <w:autoRedefine/>
    <w:qFormat/>
    <w:rsid w:val="00F523E7"/>
    <w:pPr>
      <w:numPr>
        <w:numId w:val="9"/>
      </w:numPr>
      <w:spacing w:before="120"/>
    </w:pPr>
  </w:style>
  <w:style w:type="character" w:customStyle="1" w:styleId="apple-converted-space">
    <w:name w:val="apple-converted-space"/>
    <w:basedOn w:val="DefaultParagraphFont"/>
    <w:rsid w:val="001D45DC"/>
  </w:style>
  <w:style w:type="paragraph" w:styleId="EndnoteText">
    <w:name w:val="endnote text"/>
    <w:basedOn w:val="Normal"/>
    <w:link w:val="EndnoteTextChar"/>
    <w:rsid w:val="001D45DC"/>
  </w:style>
  <w:style w:type="character" w:customStyle="1" w:styleId="EndnoteTextChar">
    <w:name w:val="Endnote Text Char"/>
    <w:basedOn w:val="DefaultParagraphFont"/>
    <w:link w:val="EndnoteText"/>
    <w:uiPriority w:val="99"/>
    <w:rsid w:val="001D45DC"/>
    <w:rPr>
      <w:lang w:val="en-GB"/>
    </w:rPr>
  </w:style>
  <w:style w:type="character" w:styleId="EndnoteReference">
    <w:name w:val="endnote reference"/>
    <w:basedOn w:val="DefaultParagraphFont"/>
    <w:uiPriority w:val="99"/>
    <w:rsid w:val="001D45DC"/>
    <w:rPr>
      <w:vertAlign w:val="superscript"/>
    </w:rPr>
  </w:style>
  <w:style w:type="paragraph" w:styleId="NoSpacing">
    <w:name w:val="No Spacing"/>
    <w:uiPriority w:val="1"/>
    <w:qFormat/>
    <w:rsid w:val="00362BD9"/>
    <w:rPr>
      <w:rFonts w:eastAsiaTheme="minorHAnsi"/>
      <w:sz w:val="22"/>
      <w:szCs w:val="22"/>
    </w:rPr>
  </w:style>
  <w:style w:type="paragraph" w:customStyle="1" w:styleId="AppendixHeading">
    <w:name w:val="Appendix Heading"/>
    <w:basedOn w:val="Normal"/>
    <w:autoRedefine/>
    <w:qFormat/>
    <w:rsid w:val="008D097E"/>
    <w:pPr>
      <w:spacing w:before="120" w:after="120"/>
      <w:jc w:val="both"/>
    </w:pPr>
    <w:rPr>
      <w:rFonts w:ascii="Eurostile" w:eastAsiaTheme="minorHAnsi" w:hAnsi="Eurostile"/>
      <w:b/>
      <w:color w:val="000090"/>
      <w:sz w:val="22"/>
    </w:rPr>
  </w:style>
  <w:style w:type="paragraph" w:customStyle="1" w:styleId="Proposal2">
    <w:name w:val="Proposal 2"/>
    <w:basedOn w:val="Normal"/>
    <w:autoRedefine/>
    <w:qFormat/>
    <w:rsid w:val="008D097E"/>
    <w:pPr>
      <w:spacing w:before="120" w:after="240"/>
      <w:jc w:val="both"/>
    </w:pPr>
    <w:rPr>
      <w:rFonts w:eastAsiaTheme="minorHAnsi"/>
      <w:b/>
      <w:color w:val="548DD4" w:themeColor="text2" w:themeTint="99"/>
      <w:sz w:val="28"/>
      <w:lang w:val="en-US"/>
    </w:rPr>
  </w:style>
  <w:style w:type="paragraph" w:customStyle="1" w:styleId="STATUS-TITLE3">
    <w:name w:val="STATUS - TITLE 3"/>
    <w:basedOn w:val="Normal"/>
    <w:autoRedefine/>
    <w:qFormat/>
    <w:rsid w:val="008D097E"/>
    <w:pPr>
      <w:spacing w:before="120" w:after="120"/>
      <w:jc w:val="both"/>
    </w:pPr>
    <w:rPr>
      <w:rFonts w:ascii="Helvetica Neue Light" w:eastAsiaTheme="minorHAnsi" w:hAnsi="Helvetica Neue Light"/>
      <w:b/>
      <w:sz w:val="22"/>
    </w:rPr>
  </w:style>
  <w:style w:type="paragraph" w:customStyle="1" w:styleId="STATUS-TITLE2">
    <w:name w:val="STATUS - TITLE 2"/>
    <w:basedOn w:val="Normal"/>
    <w:autoRedefine/>
    <w:qFormat/>
    <w:rsid w:val="008D097E"/>
    <w:pPr>
      <w:numPr>
        <w:ilvl w:val="1"/>
        <w:numId w:val="5"/>
      </w:numPr>
      <w:shd w:val="solid" w:color="DAEEF3" w:themeColor="accent5" w:themeTint="33" w:fill="auto"/>
      <w:spacing w:before="120" w:after="360"/>
    </w:pPr>
    <w:rPr>
      <w:rFonts w:ascii="Helvetica Neue" w:eastAsiaTheme="minorHAnsi" w:hAnsi="Helvetica Neue"/>
      <w:b/>
      <w:sz w:val="28"/>
    </w:rPr>
  </w:style>
  <w:style w:type="paragraph" w:customStyle="1" w:styleId="MetisBulletHeading">
    <w:name w:val="MetisBulletHeading"/>
    <w:basedOn w:val="ListParagraph"/>
    <w:autoRedefine/>
    <w:qFormat/>
    <w:rsid w:val="008D097E"/>
    <w:pPr>
      <w:numPr>
        <w:numId w:val="1"/>
      </w:numPr>
      <w:spacing w:before="120" w:after="120"/>
      <w:jc w:val="both"/>
    </w:pPr>
    <w:rPr>
      <w:rFonts w:ascii="Blackmoor LET" w:eastAsiaTheme="minorHAnsi" w:hAnsi="Blackmoor LET"/>
      <w:b/>
      <w:color w:val="4A442A" w:themeColor="background2" w:themeShade="40"/>
      <w:sz w:val="22"/>
    </w:rPr>
  </w:style>
  <w:style w:type="paragraph" w:customStyle="1" w:styleId="MetisSectionHeading">
    <w:name w:val="MetisSectionHeading"/>
    <w:basedOn w:val="Normal"/>
    <w:autoRedefine/>
    <w:qFormat/>
    <w:rsid w:val="008D097E"/>
    <w:pPr>
      <w:spacing w:before="240" w:after="360"/>
      <w:jc w:val="both"/>
    </w:pPr>
    <w:rPr>
      <w:rFonts w:eastAsiaTheme="minorHAnsi"/>
      <w:b/>
      <w:color w:val="4A442A" w:themeColor="background2" w:themeShade="40"/>
      <w:sz w:val="28"/>
    </w:rPr>
  </w:style>
  <w:style w:type="paragraph" w:customStyle="1" w:styleId="PlainHeading">
    <w:name w:val="Plain Heading"/>
    <w:basedOn w:val="Normal"/>
    <w:autoRedefine/>
    <w:qFormat/>
    <w:rsid w:val="008D097E"/>
    <w:pPr>
      <w:spacing w:before="120" w:after="120"/>
      <w:jc w:val="both"/>
    </w:pPr>
    <w:rPr>
      <w:rFonts w:ascii="Blackmoor LET" w:eastAsiaTheme="minorHAnsi" w:hAnsi="Blackmoor LET"/>
      <w:b/>
      <w:color w:val="800000"/>
      <w:sz w:val="32"/>
    </w:rPr>
  </w:style>
  <w:style w:type="paragraph" w:customStyle="1" w:styleId="MMM">
    <w:name w:val="MMM"/>
    <w:basedOn w:val="BodyText"/>
    <w:autoRedefine/>
    <w:qFormat/>
    <w:rsid w:val="008D097E"/>
    <w:pPr>
      <w:shd w:val="clear" w:color="auto" w:fill="00003C"/>
      <w:spacing w:after="0"/>
      <w:jc w:val="both"/>
    </w:pPr>
    <w:rPr>
      <w:rFonts w:ascii="Helvetica Neue Light" w:eastAsia="Times New Roman" w:hAnsi="Helvetica Neue Light" w:cs="Microsoft Sans Serif"/>
      <w:color w:val="FFFFFF" w:themeColor="background1"/>
      <w:sz w:val="32"/>
      <w:szCs w:val="22"/>
      <w:lang w:val="en-US"/>
    </w:rPr>
  </w:style>
  <w:style w:type="paragraph" w:styleId="BodyText">
    <w:name w:val="Body Text"/>
    <w:basedOn w:val="Normal"/>
    <w:link w:val="BodyTextChar"/>
    <w:unhideWhenUsed/>
    <w:rsid w:val="008D097E"/>
    <w:pPr>
      <w:spacing w:before="120" w:after="120"/>
    </w:pPr>
    <w:rPr>
      <w:rFonts w:eastAsiaTheme="minorHAnsi"/>
      <w:b/>
      <w:sz w:val="28"/>
    </w:rPr>
  </w:style>
  <w:style w:type="character" w:customStyle="1" w:styleId="BodyTextChar">
    <w:name w:val="Body Text Char"/>
    <w:basedOn w:val="DefaultParagraphFont"/>
    <w:link w:val="BodyText"/>
    <w:uiPriority w:val="99"/>
    <w:rsid w:val="008D097E"/>
    <w:rPr>
      <w:rFonts w:ascii="Arial" w:eastAsiaTheme="minorHAnsi" w:hAnsi="Arial"/>
      <w:b/>
      <w:sz w:val="28"/>
      <w:lang w:val="en-GB"/>
    </w:rPr>
  </w:style>
  <w:style w:type="paragraph" w:customStyle="1" w:styleId="LLL">
    <w:name w:val="LLL"/>
    <w:basedOn w:val="Normal"/>
    <w:autoRedefine/>
    <w:qFormat/>
    <w:rsid w:val="008D097E"/>
    <w:pPr>
      <w:autoSpaceDE w:val="0"/>
      <w:autoSpaceDN w:val="0"/>
      <w:adjustRightInd w:val="0"/>
      <w:spacing w:before="120" w:after="120"/>
      <w:jc w:val="both"/>
    </w:pPr>
    <w:rPr>
      <w:rFonts w:ascii="Helvetica Neue" w:eastAsia="Cambria" w:hAnsi="Helvetica Neue" w:cs="Microsoft Sans Serif"/>
      <w:b/>
      <w:color w:val="000090"/>
      <w:sz w:val="36"/>
      <w:szCs w:val="22"/>
    </w:rPr>
  </w:style>
  <w:style w:type="paragraph" w:customStyle="1" w:styleId="Text">
    <w:name w:val="Text"/>
    <w:basedOn w:val="Normal"/>
    <w:next w:val="Normal"/>
    <w:autoRedefine/>
    <w:qFormat/>
    <w:rsid w:val="008D097E"/>
    <w:pPr>
      <w:spacing w:before="120" w:after="120"/>
      <w:jc w:val="both"/>
    </w:pPr>
    <w:rPr>
      <w:rFonts w:ascii="Helvetica Neue" w:eastAsia="Cambria" w:hAnsi="Helvetica Neue" w:cs="Times New Roman"/>
      <w:b/>
      <w:sz w:val="28"/>
    </w:rPr>
  </w:style>
  <w:style w:type="paragraph" w:customStyle="1" w:styleId="CVL1">
    <w:name w:val="CVL1"/>
    <w:basedOn w:val="Heading1"/>
    <w:autoRedefine/>
    <w:qFormat/>
    <w:rsid w:val="008D097E"/>
    <w:pPr>
      <w:numPr>
        <w:numId w:val="0"/>
      </w:numPr>
      <w:spacing w:before="120" w:after="120"/>
      <w:ind w:right="2405"/>
      <w:jc w:val="left"/>
    </w:pPr>
    <w:rPr>
      <w:rFonts w:ascii="Arial Narrow" w:eastAsia="Cambria" w:hAnsi="Arial Narrow"/>
      <w:color w:val="0000FF"/>
    </w:rPr>
  </w:style>
  <w:style w:type="paragraph" w:customStyle="1" w:styleId="CVL2">
    <w:name w:val="CVL2"/>
    <w:basedOn w:val="Normal"/>
    <w:autoRedefine/>
    <w:qFormat/>
    <w:rsid w:val="008D097E"/>
    <w:pPr>
      <w:spacing w:before="120" w:after="120"/>
      <w:jc w:val="both"/>
      <w:outlineLvl w:val="0"/>
    </w:pPr>
    <w:rPr>
      <w:rFonts w:ascii="Helvetica Neue Light" w:eastAsia="Cambria" w:hAnsi="Helvetica Neue Light" w:cs="Times New Roman"/>
      <w:b/>
      <w:color w:val="000090"/>
      <w:sz w:val="28"/>
    </w:rPr>
  </w:style>
  <w:style w:type="paragraph" w:customStyle="1" w:styleId="Training2">
    <w:name w:val="Training 2"/>
    <w:basedOn w:val="Normal"/>
    <w:autoRedefine/>
    <w:qFormat/>
    <w:rsid w:val="008D097E"/>
    <w:pPr>
      <w:spacing w:before="120" w:after="120"/>
      <w:jc w:val="both"/>
    </w:pPr>
    <w:rPr>
      <w:rFonts w:ascii="Helvetica Neue" w:eastAsia="Cambria" w:hAnsi="Helvetica Neue" w:cs="Times New Roman"/>
      <w:b/>
      <w:color w:val="3366FF"/>
      <w:sz w:val="28"/>
    </w:rPr>
  </w:style>
  <w:style w:type="paragraph" w:customStyle="1" w:styleId="Synopsis">
    <w:name w:val="Synopsis"/>
    <w:basedOn w:val="Normal"/>
    <w:autoRedefine/>
    <w:qFormat/>
    <w:rsid w:val="008D097E"/>
    <w:pPr>
      <w:spacing w:before="120" w:after="120"/>
      <w:ind w:left="176"/>
    </w:pPr>
    <w:rPr>
      <w:rFonts w:eastAsiaTheme="minorHAnsi"/>
      <w:b/>
      <w:i/>
      <w:color w:val="3366FF"/>
      <w:sz w:val="20"/>
    </w:rPr>
  </w:style>
  <w:style w:type="paragraph" w:customStyle="1" w:styleId="Name">
    <w:name w:val="Name"/>
    <w:basedOn w:val="Normal"/>
    <w:autoRedefine/>
    <w:qFormat/>
    <w:rsid w:val="008D097E"/>
    <w:pPr>
      <w:spacing w:before="120" w:after="120"/>
      <w:ind w:left="-57"/>
    </w:pPr>
    <w:rPr>
      <w:rFonts w:ascii="Arial Unicode MS" w:eastAsia="Cambria" w:hAnsi="Arial Unicode MS" w:cs="Calibri"/>
      <w:b/>
      <w:color w:val="0000D0"/>
      <w:sz w:val="22"/>
      <w:szCs w:val="22"/>
    </w:rPr>
  </w:style>
  <w:style w:type="paragraph" w:customStyle="1" w:styleId="BodyTitle">
    <w:name w:val="BodyTitle"/>
    <w:basedOn w:val="Normal"/>
    <w:autoRedefine/>
    <w:rsid w:val="008D097E"/>
    <w:pPr>
      <w:spacing w:before="120" w:after="120"/>
      <w:jc w:val="both"/>
    </w:pPr>
    <w:rPr>
      <w:rFonts w:asciiTheme="majorHAnsi" w:eastAsiaTheme="minorHAnsi" w:hAnsiTheme="majorHAnsi"/>
      <w:b/>
      <w:color w:val="0000FF"/>
      <w:sz w:val="28"/>
    </w:rPr>
  </w:style>
  <w:style w:type="paragraph" w:customStyle="1" w:styleId="BodyEmphasis">
    <w:name w:val="BodyEmphasis"/>
    <w:basedOn w:val="Normal"/>
    <w:autoRedefine/>
    <w:rsid w:val="008D097E"/>
    <w:pPr>
      <w:spacing w:before="120" w:after="120"/>
      <w:jc w:val="both"/>
    </w:pPr>
    <w:rPr>
      <w:rFonts w:asciiTheme="majorHAnsi" w:eastAsiaTheme="minorHAnsi" w:hAnsiTheme="majorHAnsi"/>
      <w:b/>
      <w:color w:val="0000D5"/>
      <w:sz w:val="22"/>
    </w:rPr>
  </w:style>
  <w:style w:type="paragraph" w:customStyle="1" w:styleId="Break">
    <w:name w:val="Break"/>
    <w:basedOn w:val="Normal"/>
    <w:autoRedefine/>
    <w:rsid w:val="008D097E"/>
    <w:pPr>
      <w:spacing w:before="240" w:after="120"/>
    </w:pPr>
    <w:rPr>
      <w:rFonts w:ascii="Arial Unicode MS" w:eastAsia="Cambria" w:hAnsi="Arial Unicode MS" w:cs="Times New Roman"/>
      <w:b/>
      <w:color w:val="00005C"/>
      <w:sz w:val="22"/>
    </w:rPr>
  </w:style>
  <w:style w:type="paragraph" w:customStyle="1" w:styleId="SessionTopic">
    <w:name w:val="SessionTopic"/>
    <w:basedOn w:val="Normal"/>
    <w:autoRedefine/>
    <w:qFormat/>
    <w:rsid w:val="008D097E"/>
    <w:pPr>
      <w:spacing w:before="120" w:after="120"/>
      <w:ind w:left="176"/>
    </w:pPr>
    <w:rPr>
      <w:rFonts w:ascii="Arial Unicode MS" w:eastAsia="Cambria" w:hAnsi="Arial Unicode MS" w:cs="Calibri"/>
      <w:b/>
      <w:color w:val="0000D0"/>
      <w:sz w:val="20"/>
      <w:szCs w:val="22"/>
    </w:rPr>
  </w:style>
  <w:style w:type="paragraph" w:customStyle="1" w:styleId="Topic">
    <w:name w:val="Topic"/>
    <w:basedOn w:val="Normal"/>
    <w:autoRedefine/>
    <w:qFormat/>
    <w:rsid w:val="008D097E"/>
    <w:pPr>
      <w:spacing w:before="120" w:after="120"/>
      <w:jc w:val="center"/>
    </w:pPr>
    <w:rPr>
      <w:rFonts w:ascii="Arial Narrow" w:eastAsia="Cambria" w:hAnsi="Arial Narrow" w:cs="Arial"/>
      <w:b/>
      <w:color w:val="0000FF"/>
      <w:sz w:val="20"/>
    </w:rPr>
  </w:style>
  <w:style w:type="paragraph" w:customStyle="1" w:styleId="PIB1">
    <w:name w:val="PIB1"/>
    <w:basedOn w:val="ListParagraph"/>
    <w:autoRedefine/>
    <w:qFormat/>
    <w:rsid w:val="008D097E"/>
    <w:pPr>
      <w:widowControl w:val="0"/>
      <w:numPr>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Pr>
      <w:rFonts w:eastAsiaTheme="minorHAnsi" w:cs="Arial"/>
      <w:b/>
      <w:szCs w:val="28"/>
      <w:lang w:val="en-US"/>
    </w:rPr>
  </w:style>
  <w:style w:type="paragraph" w:customStyle="1" w:styleId="PIBPART">
    <w:name w:val="PIBPART"/>
    <w:basedOn w:val="ListParagraph"/>
    <w:autoRedefine/>
    <w:qFormat/>
    <w:rsid w:val="008D097E"/>
    <w:pPr>
      <w:widowControl w:val="0"/>
      <w:numPr>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pPr>
    <w:rPr>
      <w:rFonts w:eastAsiaTheme="minorHAnsi" w:cs="Arial"/>
      <w:b/>
      <w:sz w:val="32"/>
      <w:lang w:val="en-US"/>
    </w:rPr>
  </w:style>
  <w:style w:type="paragraph" w:customStyle="1" w:styleId="Heading0">
    <w:name w:val="Heading 0"/>
    <w:basedOn w:val="Heading1"/>
    <w:autoRedefine/>
    <w:qFormat/>
    <w:rsid w:val="008D097E"/>
    <w:pPr>
      <w:numPr>
        <w:numId w:val="0"/>
      </w:numPr>
      <w:spacing w:before="120" w:after="360"/>
      <w:jc w:val="left"/>
    </w:pPr>
    <w:rPr>
      <w:color w:val="0000FF"/>
    </w:rPr>
  </w:style>
  <w:style w:type="paragraph" w:customStyle="1" w:styleId="Title-Pre">
    <w:name w:val="Title-Pre"/>
    <w:basedOn w:val="Normal"/>
    <w:autoRedefine/>
    <w:qFormat/>
    <w:rsid w:val="008D097E"/>
    <w:pPr>
      <w:spacing w:after="480"/>
    </w:pPr>
    <w:rPr>
      <w:rFonts w:ascii="Helvetica Neue" w:eastAsiaTheme="minorHAnsi" w:hAnsi="Helvetica Neue"/>
      <w:b/>
      <w:color w:val="0000DA"/>
      <w:sz w:val="32"/>
    </w:rPr>
  </w:style>
  <w:style w:type="paragraph" w:customStyle="1" w:styleId="Header2">
    <w:name w:val="Header2"/>
    <w:basedOn w:val="Heading1"/>
    <w:link w:val="Header2Char"/>
    <w:autoRedefine/>
    <w:qFormat/>
    <w:rsid w:val="008D097E"/>
    <w:pPr>
      <w:keepNext w:val="0"/>
      <w:keepLines w:val="0"/>
      <w:numPr>
        <w:ilvl w:val="1"/>
        <w:numId w:val="4"/>
      </w:numPr>
      <w:spacing w:before="120" w:after="120"/>
      <w:ind w:left="0" w:firstLine="0"/>
      <w:jc w:val="left"/>
      <w:outlineLvl w:val="9"/>
    </w:pPr>
    <w:rPr>
      <w:color w:val="800000"/>
      <w:sz w:val="24"/>
    </w:rPr>
  </w:style>
  <w:style w:type="character" w:customStyle="1" w:styleId="Header2Char">
    <w:name w:val="Header2 Char"/>
    <w:basedOn w:val="Heading1Char"/>
    <w:link w:val="Header2"/>
    <w:rsid w:val="008D097E"/>
    <w:rPr>
      <w:rFonts w:ascii="Arial" w:eastAsiaTheme="majorEastAsia" w:hAnsi="Arial" w:cs="Arial"/>
      <w:bCs/>
      <w:color w:val="800000"/>
      <w:sz w:val="28"/>
      <w:szCs w:val="26"/>
      <w:lang w:val="en-GB"/>
    </w:rPr>
  </w:style>
  <w:style w:type="paragraph" w:customStyle="1" w:styleId="Header1">
    <w:name w:val="Header1"/>
    <w:basedOn w:val="Heading1"/>
    <w:autoRedefine/>
    <w:qFormat/>
    <w:rsid w:val="00496AED"/>
    <w:pPr>
      <w:numPr>
        <w:numId w:val="0"/>
      </w:numPr>
      <w:jc w:val="left"/>
    </w:pPr>
  </w:style>
  <w:style w:type="paragraph" w:customStyle="1" w:styleId="Header3">
    <w:name w:val="Header3"/>
    <w:basedOn w:val="Normal"/>
    <w:autoRedefine/>
    <w:qFormat/>
    <w:rsid w:val="008D097E"/>
    <w:pPr>
      <w:ind w:left="1134"/>
    </w:pPr>
    <w:rPr>
      <w:rFonts w:ascii="Helvetica Neue Bold Condensed" w:eastAsiaTheme="minorHAnsi" w:hAnsi="Helvetica Neue Bold Condensed"/>
      <w:color w:val="3366FF"/>
    </w:rPr>
  </w:style>
  <w:style w:type="paragraph" w:customStyle="1" w:styleId="Title-Post">
    <w:name w:val="Title-Post"/>
    <w:basedOn w:val="Normal"/>
    <w:autoRedefine/>
    <w:qFormat/>
    <w:rsid w:val="008D097E"/>
    <w:pPr>
      <w:spacing w:after="360"/>
    </w:pPr>
    <w:rPr>
      <w:rFonts w:ascii="Helvetica Neue" w:eastAsiaTheme="minorHAnsi" w:hAnsi="Helvetica Neue"/>
      <w:color w:val="31849B" w:themeColor="accent5" w:themeShade="BF"/>
      <w:sz w:val="28"/>
    </w:rPr>
  </w:style>
  <w:style w:type="paragraph" w:customStyle="1" w:styleId="Appendix">
    <w:name w:val="Appendix"/>
    <w:basedOn w:val="Normal"/>
    <w:autoRedefine/>
    <w:qFormat/>
    <w:rsid w:val="00907258"/>
    <w:pPr>
      <w:spacing w:before="120" w:after="120"/>
      <w:jc w:val="both"/>
    </w:pPr>
    <w:rPr>
      <w:rFonts w:ascii="Helvetica" w:eastAsiaTheme="minorHAnsi" w:hAnsi="Helvetica"/>
      <w:b/>
      <w:color w:val="000090"/>
    </w:rPr>
  </w:style>
  <w:style w:type="paragraph" w:customStyle="1" w:styleId="Title1">
    <w:name w:val="Title1"/>
    <w:basedOn w:val="STATUS-TITLE2"/>
    <w:autoRedefine/>
    <w:qFormat/>
    <w:rsid w:val="008D097E"/>
    <w:pPr>
      <w:numPr>
        <w:ilvl w:val="0"/>
        <w:numId w:val="0"/>
      </w:numPr>
    </w:pPr>
  </w:style>
  <w:style w:type="paragraph" w:customStyle="1" w:styleId="Title2">
    <w:name w:val="Title2"/>
    <w:basedOn w:val="STATUS-TITLE2"/>
    <w:autoRedefine/>
    <w:qFormat/>
    <w:rsid w:val="008D097E"/>
    <w:pPr>
      <w:numPr>
        <w:ilvl w:val="0"/>
        <w:numId w:val="0"/>
      </w:numPr>
    </w:pPr>
    <w:rPr>
      <w:color w:val="800000"/>
      <w:sz w:val="24"/>
    </w:rPr>
  </w:style>
  <w:style w:type="paragraph" w:customStyle="1" w:styleId="1">
    <w:name w:val="1"/>
    <w:basedOn w:val="ListParagraph"/>
    <w:autoRedefine/>
    <w:qFormat/>
    <w:rsid w:val="008D097E"/>
    <w:pPr>
      <w:numPr>
        <w:numId w:val="6"/>
      </w:numPr>
      <w:spacing w:after="240"/>
      <w:jc w:val="both"/>
    </w:pPr>
    <w:rPr>
      <w:rFonts w:ascii="Helvetica Neue" w:eastAsiaTheme="minorHAnsi" w:hAnsi="Helvetica Neue"/>
      <w:color w:val="000090"/>
    </w:rPr>
  </w:style>
  <w:style w:type="paragraph" w:customStyle="1" w:styleId="Constituent">
    <w:name w:val="Constituent"/>
    <w:basedOn w:val="Normal"/>
    <w:autoRedefine/>
    <w:qFormat/>
    <w:rsid w:val="008D097E"/>
    <w:pPr>
      <w:spacing w:before="120" w:after="120"/>
      <w:jc w:val="both"/>
    </w:pPr>
    <w:rPr>
      <w:rFonts w:ascii="Helvetica Neue" w:hAnsi="Helvetica Neue" w:cs="Arial"/>
      <w:color w:val="000090"/>
    </w:rPr>
  </w:style>
  <w:style w:type="paragraph" w:styleId="TOC1">
    <w:name w:val="toc 1"/>
    <w:basedOn w:val="Normal"/>
    <w:next w:val="Normal"/>
    <w:autoRedefine/>
    <w:uiPriority w:val="39"/>
    <w:rsid w:val="00334263"/>
    <w:pPr>
      <w:spacing w:before="120"/>
    </w:pPr>
    <w:rPr>
      <w:rFonts w:asciiTheme="majorHAnsi" w:hAnsiTheme="majorHAnsi"/>
      <w:b/>
      <w:color w:val="548DD4"/>
    </w:rPr>
  </w:style>
  <w:style w:type="paragraph" w:customStyle="1" w:styleId="AppendixHeading0">
    <w:name w:val="AppendixHeading"/>
    <w:basedOn w:val="Normal"/>
    <w:autoRedefine/>
    <w:qFormat/>
    <w:rsid w:val="00842990"/>
    <w:pPr>
      <w:spacing w:before="120" w:after="240"/>
      <w:jc w:val="both"/>
    </w:pPr>
    <w:rPr>
      <w:rFonts w:ascii="Helvetica" w:hAnsi="Helvetica" w:cs="Times New Roman"/>
      <w:b/>
      <w:color w:val="000090"/>
      <w:sz w:val="28"/>
      <w:szCs w:val="20"/>
    </w:rPr>
  </w:style>
  <w:style w:type="paragraph" w:styleId="TOC2">
    <w:name w:val="toc 2"/>
    <w:basedOn w:val="Normal"/>
    <w:next w:val="Normal"/>
    <w:autoRedefine/>
    <w:uiPriority w:val="39"/>
    <w:rsid w:val="00F16E98"/>
    <w:rPr>
      <w:sz w:val="22"/>
      <w:szCs w:val="22"/>
    </w:rPr>
  </w:style>
  <w:style w:type="paragraph" w:styleId="TOC3">
    <w:name w:val="toc 3"/>
    <w:basedOn w:val="Normal"/>
    <w:next w:val="Normal"/>
    <w:autoRedefine/>
    <w:uiPriority w:val="39"/>
    <w:rsid w:val="009130A7"/>
    <w:pPr>
      <w:tabs>
        <w:tab w:val="left" w:pos="1275"/>
        <w:tab w:val="right" w:leader="dot" w:pos="9054"/>
      </w:tabs>
      <w:ind w:left="240"/>
    </w:pPr>
    <w:rPr>
      <w:i/>
      <w:sz w:val="22"/>
      <w:szCs w:val="22"/>
    </w:rPr>
  </w:style>
  <w:style w:type="paragraph" w:styleId="TOC4">
    <w:name w:val="toc 4"/>
    <w:basedOn w:val="Normal"/>
    <w:next w:val="Normal"/>
    <w:autoRedefine/>
    <w:uiPriority w:val="39"/>
    <w:rsid w:val="00F16E98"/>
    <w:pPr>
      <w:pBdr>
        <w:between w:val="double" w:sz="6" w:space="0" w:color="auto"/>
      </w:pBdr>
      <w:ind w:left="480"/>
    </w:pPr>
    <w:rPr>
      <w:sz w:val="20"/>
      <w:szCs w:val="20"/>
    </w:rPr>
  </w:style>
  <w:style w:type="paragraph" w:styleId="TOC5">
    <w:name w:val="toc 5"/>
    <w:basedOn w:val="Normal"/>
    <w:next w:val="Normal"/>
    <w:autoRedefine/>
    <w:uiPriority w:val="39"/>
    <w:rsid w:val="00F16E98"/>
    <w:pPr>
      <w:pBdr>
        <w:between w:val="double" w:sz="6" w:space="0" w:color="auto"/>
      </w:pBdr>
      <w:ind w:left="720"/>
    </w:pPr>
    <w:rPr>
      <w:sz w:val="20"/>
      <w:szCs w:val="20"/>
    </w:rPr>
  </w:style>
  <w:style w:type="paragraph" w:styleId="TOC6">
    <w:name w:val="toc 6"/>
    <w:basedOn w:val="Normal"/>
    <w:next w:val="Normal"/>
    <w:autoRedefine/>
    <w:uiPriority w:val="39"/>
    <w:rsid w:val="00F16E98"/>
    <w:pPr>
      <w:pBdr>
        <w:between w:val="double" w:sz="6" w:space="0" w:color="auto"/>
      </w:pBdr>
      <w:ind w:left="960"/>
    </w:pPr>
    <w:rPr>
      <w:sz w:val="20"/>
      <w:szCs w:val="20"/>
    </w:rPr>
  </w:style>
  <w:style w:type="paragraph" w:styleId="TOC7">
    <w:name w:val="toc 7"/>
    <w:basedOn w:val="Normal"/>
    <w:next w:val="Normal"/>
    <w:autoRedefine/>
    <w:uiPriority w:val="39"/>
    <w:rsid w:val="00F16E98"/>
    <w:pPr>
      <w:pBdr>
        <w:between w:val="double" w:sz="6" w:space="0" w:color="auto"/>
      </w:pBdr>
      <w:ind w:left="1200"/>
    </w:pPr>
    <w:rPr>
      <w:sz w:val="20"/>
      <w:szCs w:val="20"/>
    </w:rPr>
  </w:style>
  <w:style w:type="paragraph" w:styleId="TOC8">
    <w:name w:val="toc 8"/>
    <w:basedOn w:val="Normal"/>
    <w:next w:val="Normal"/>
    <w:autoRedefine/>
    <w:uiPriority w:val="39"/>
    <w:rsid w:val="00F16E98"/>
    <w:pPr>
      <w:pBdr>
        <w:between w:val="double" w:sz="6" w:space="0" w:color="auto"/>
      </w:pBdr>
      <w:ind w:left="1440"/>
    </w:pPr>
    <w:rPr>
      <w:sz w:val="20"/>
      <w:szCs w:val="20"/>
    </w:rPr>
  </w:style>
  <w:style w:type="paragraph" w:styleId="TOC9">
    <w:name w:val="toc 9"/>
    <w:basedOn w:val="Normal"/>
    <w:next w:val="Normal"/>
    <w:autoRedefine/>
    <w:uiPriority w:val="39"/>
    <w:rsid w:val="00F16E98"/>
    <w:pPr>
      <w:pBdr>
        <w:between w:val="double" w:sz="6" w:space="0" w:color="auto"/>
      </w:pBdr>
      <w:ind w:left="1680"/>
    </w:pPr>
    <w:rPr>
      <w:sz w:val="20"/>
      <w:szCs w:val="20"/>
    </w:rPr>
  </w:style>
  <w:style w:type="paragraph" w:customStyle="1" w:styleId="Summary">
    <w:name w:val="Summary"/>
    <w:basedOn w:val="Normal"/>
    <w:autoRedefine/>
    <w:qFormat/>
    <w:rsid w:val="00F26E46"/>
    <w:pPr>
      <w:widowControl w:val="0"/>
      <w:autoSpaceDE w:val="0"/>
      <w:autoSpaceDN w:val="0"/>
      <w:adjustRightInd w:val="0"/>
      <w:jc w:val="both"/>
    </w:pPr>
    <w:rPr>
      <w:rFonts w:cs="Arial"/>
      <w:color w:val="31849B" w:themeColor="accent5" w:themeShade="BF"/>
    </w:rPr>
  </w:style>
  <w:style w:type="numbering" w:customStyle="1" w:styleId="NoList1">
    <w:name w:val="No List1"/>
    <w:next w:val="NoList"/>
    <w:semiHidden/>
    <w:unhideWhenUsed/>
    <w:rsid w:val="00491FBD"/>
  </w:style>
  <w:style w:type="character" w:styleId="FollowedHyperlink">
    <w:name w:val="FollowedHyperlink"/>
    <w:basedOn w:val="DefaultParagraphFont"/>
    <w:uiPriority w:val="99"/>
    <w:rsid w:val="00491FBD"/>
    <w:rPr>
      <w:color w:val="993366"/>
      <w:u w:val="single"/>
    </w:rPr>
  </w:style>
  <w:style w:type="paragraph" w:customStyle="1" w:styleId="font5">
    <w:name w:val="font5"/>
    <w:basedOn w:val="Normal"/>
    <w:rsid w:val="00491FBD"/>
    <w:pPr>
      <w:spacing w:beforeLines="1" w:afterLines="1"/>
    </w:pPr>
    <w:rPr>
      <w:rFonts w:ascii="Verdana" w:hAnsi="Verdana"/>
      <w:sz w:val="16"/>
      <w:szCs w:val="16"/>
      <w:lang w:val="en-US"/>
    </w:rPr>
  </w:style>
  <w:style w:type="paragraph" w:customStyle="1" w:styleId="xl24">
    <w:name w:val="xl24"/>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5">
    <w:name w:val="xl25"/>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textAlignment w:val="top"/>
    </w:pPr>
    <w:rPr>
      <w:rFonts w:ascii="Helvetica" w:hAnsi="Helvetica"/>
      <w:color w:val="000090"/>
      <w:lang w:val="en-US"/>
    </w:rPr>
  </w:style>
  <w:style w:type="paragraph" w:customStyle="1" w:styleId="xl26">
    <w:name w:val="xl26"/>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7">
    <w:name w:val="xl27"/>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8">
    <w:name w:val="xl28"/>
    <w:basedOn w:val="Normal"/>
    <w:rsid w:val="00491FBD"/>
    <w:pPr>
      <w:pBdr>
        <w:top w:val="single" w:sz="4" w:space="0" w:color="3366FF"/>
        <w:left w:val="single" w:sz="4" w:space="0" w:color="3366FF"/>
        <w:bottom w:val="single" w:sz="4" w:space="0" w:color="3366FF"/>
        <w:right w:val="single" w:sz="4" w:space="0" w:color="3366FF"/>
      </w:pBdr>
      <w:spacing w:beforeLines="1" w:afterLines="1"/>
      <w:jc w:val="both"/>
      <w:textAlignment w:val="top"/>
    </w:pPr>
    <w:rPr>
      <w:rFonts w:ascii="Helvetica" w:hAnsi="Helvetica"/>
      <w:color w:val="000090"/>
      <w:lang w:val="en-US"/>
    </w:rPr>
  </w:style>
  <w:style w:type="paragraph" w:customStyle="1" w:styleId="xl29">
    <w:name w:val="xl29"/>
    <w:basedOn w:val="Normal"/>
    <w:rsid w:val="00491FBD"/>
    <w:pPr>
      <w:pBdr>
        <w:top w:val="single" w:sz="4" w:space="0" w:color="3366FF"/>
        <w:left w:val="single" w:sz="4" w:space="0" w:color="3366FF"/>
        <w:bottom w:val="single" w:sz="4" w:space="0" w:color="3366FF"/>
        <w:right w:val="single" w:sz="4" w:space="0" w:color="3366FF"/>
      </w:pBdr>
      <w:spacing w:beforeLines="1" w:afterLines="1"/>
      <w:jc w:val="right"/>
      <w:textAlignment w:val="top"/>
    </w:pPr>
    <w:rPr>
      <w:rFonts w:ascii="Helvetica" w:hAnsi="Helvetica"/>
      <w:color w:val="000090"/>
      <w:lang w:val="en-US"/>
    </w:rPr>
  </w:style>
  <w:style w:type="paragraph" w:customStyle="1" w:styleId="xl30">
    <w:name w:val="xl30"/>
    <w:basedOn w:val="Normal"/>
    <w:rsid w:val="00491FBD"/>
    <w:pPr>
      <w:pBdr>
        <w:top w:val="single" w:sz="4" w:space="0" w:color="3366FF"/>
        <w:left w:val="single" w:sz="4" w:space="0" w:color="3366FF"/>
        <w:bottom w:val="single" w:sz="4" w:space="0" w:color="3366FF"/>
        <w:right w:val="single" w:sz="4" w:space="0" w:color="3366FF"/>
      </w:pBdr>
      <w:spacing w:beforeLines="1" w:afterLines="1"/>
      <w:jc w:val="right"/>
      <w:textAlignment w:val="top"/>
    </w:pPr>
    <w:rPr>
      <w:rFonts w:ascii="Helvetica" w:hAnsi="Helvetica"/>
      <w:color w:val="000090"/>
      <w:lang w:val="en-US"/>
    </w:rPr>
  </w:style>
  <w:style w:type="paragraph" w:customStyle="1" w:styleId="xl31">
    <w:name w:val="xl31"/>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xl32">
    <w:name w:val="xl32"/>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textAlignment w:val="top"/>
    </w:pPr>
    <w:rPr>
      <w:rFonts w:ascii="Helvetica" w:hAnsi="Helvetica"/>
      <w:b/>
      <w:bCs/>
      <w:color w:val="000090"/>
      <w:lang w:val="en-US"/>
    </w:rPr>
  </w:style>
  <w:style w:type="paragraph" w:customStyle="1" w:styleId="xl33">
    <w:name w:val="xl33"/>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xl34">
    <w:name w:val="xl34"/>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Highlight">
    <w:name w:val="Highlight"/>
    <w:basedOn w:val="Normal"/>
    <w:autoRedefine/>
    <w:qFormat/>
    <w:rsid w:val="00E53EA1"/>
    <w:pPr>
      <w:tabs>
        <w:tab w:val="left" w:pos="175"/>
      </w:tabs>
      <w:jc w:val="both"/>
    </w:pPr>
    <w:rPr>
      <w:rFonts w:eastAsia="Times New Roman" w:cs="Arial"/>
      <w:lang w:eastAsia="ja-JP" w:bidi="en-US"/>
    </w:rPr>
  </w:style>
  <w:style w:type="paragraph" w:customStyle="1" w:styleId="Paragraph">
    <w:name w:val="Paragraph"/>
    <w:basedOn w:val="Normal"/>
    <w:next w:val="Normal"/>
    <w:rsid w:val="006729DC"/>
    <w:pPr>
      <w:spacing w:after="240"/>
      <w:jc w:val="both"/>
    </w:pPr>
    <w:rPr>
      <w:rFonts w:eastAsia="Times New Roman" w:cs="Times New Roman"/>
      <w:szCs w:val="20"/>
    </w:rPr>
  </w:style>
  <w:style w:type="paragraph" w:styleId="ListBullet">
    <w:name w:val="List Bullet"/>
    <w:basedOn w:val="Normal"/>
    <w:autoRedefine/>
    <w:rsid w:val="006729DC"/>
    <w:pPr>
      <w:spacing w:after="120"/>
      <w:ind w:left="1080"/>
      <w:jc w:val="both"/>
    </w:pPr>
    <w:rPr>
      <w:rFonts w:eastAsia="Times New Roman" w:cs="Arial"/>
      <w:sz w:val="20"/>
      <w:szCs w:val="20"/>
    </w:rPr>
  </w:style>
  <w:style w:type="paragraph" w:styleId="ListBullet2">
    <w:name w:val="List Bullet 2"/>
    <w:basedOn w:val="Normal"/>
    <w:uiPriority w:val="99"/>
    <w:unhideWhenUsed/>
    <w:rsid w:val="006729DC"/>
    <w:pPr>
      <w:numPr>
        <w:numId w:val="7"/>
      </w:numPr>
      <w:contextualSpacing/>
    </w:pPr>
    <w:rPr>
      <w:lang w:val="en-US"/>
    </w:rPr>
  </w:style>
  <w:style w:type="paragraph" w:styleId="DocumentMap">
    <w:name w:val="Document Map"/>
    <w:basedOn w:val="Normal"/>
    <w:link w:val="DocumentMapChar"/>
    <w:rsid w:val="00D02C98"/>
    <w:rPr>
      <w:rFonts w:ascii="Lucida Grande" w:hAnsi="Lucida Grande" w:cs="Lucida Grande"/>
    </w:rPr>
  </w:style>
  <w:style w:type="character" w:customStyle="1" w:styleId="DocumentMapChar">
    <w:name w:val="Document Map Char"/>
    <w:basedOn w:val="DefaultParagraphFont"/>
    <w:link w:val="DocumentMap"/>
    <w:rsid w:val="00D02C98"/>
    <w:rPr>
      <w:rFonts w:ascii="Lucida Grande" w:hAnsi="Lucida Grande" w:cs="Lucida Grande"/>
      <w:lang w:val="en-GB"/>
    </w:rPr>
  </w:style>
  <w:style w:type="paragraph" w:customStyle="1" w:styleId="PolicyBrief1">
    <w:name w:val="PolicyBrief1"/>
    <w:basedOn w:val="Title1"/>
    <w:autoRedefine/>
    <w:qFormat/>
    <w:rsid w:val="00C2738B"/>
    <w:pPr>
      <w:shd w:val="clear" w:color="auto" w:fill="auto"/>
      <w:spacing w:before="0" w:after="0"/>
      <w:jc w:val="both"/>
    </w:pPr>
    <w:rPr>
      <w:rFonts w:ascii="Arial" w:eastAsia="Times New Roman" w:hAnsi="Arial" w:cs="Arial"/>
      <w:b w:val="0"/>
      <w:noProof/>
      <w:sz w:val="24"/>
    </w:rPr>
  </w:style>
  <w:style w:type="table" w:styleId="MediumGrid1-Accent1">
    <w:name w:val="Medium Grid 1 Accent 1"/>
    <w:basedOn w:val="TableNormal"/>
    <w:uiPriority w:val="67"/>
    <w:rsid w:val="0056305A"/>
    <w:rPr>
      <w:rFonts w:eastAsiaTheme="minorHAns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Professional">
    <w:name w:val="Table Professional"/>
    <w:basedOn w:val="TableNormal"/>
    <w:rsid w:val="0071113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List2">
    <w:name w:val="Table List 2"/>
    <w:basedOn w:val="TableNormal"/>
    <w:rsid w:val="0071113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MediumShading1">
    <w:name w:val="Medium Shading 1"/>
    <w:basedOn w:val="TableNormal"/>
    <w:rsid w:val="002F476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2F476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6">
    <w:name w:val="Table Grid 6"/>
    <w:basedOn w:val="TableNormal"/>
    <w:rsid w:val="002F476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2F476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LightList-Accent1">
    <w:name w:val="Light List Accent 1"/>
    <w:basedOn w:val="TableNormal"/>
    <w:uiPriority w:val="61"/>
    <w:rsid w:val="001053BC"/>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licyBrief2">
    <w:name w:val="PolicyBrief2"/>
    <w:basedOn w:val="Normal"/>
    <w:autoRedefine/>
    <w:qFormat/>
    <w:rsid w:val="007C7480"/>
    <w:pPr>
      <w:spacing w:after="120"/>
      <w:jc w:val="both"/>
    </w:pPr>
    <w:rPr>
      <w:rFonts w:eastAsia="Times New Roman" w:cs="Arial"/>
      <w:color w:val="31849B" w:themeColor="accent5" w:themeShade="BF"/>
    </w:rPr>
  </w:style>
  <w:style w:type="paragraph" w:styleId="BodyText2">
    <w:name w:val="Body Text 2"/>
    <w:basedOn w:val="Normal"/>
    <w:link w:val="BodyText2Char"/>
    <w:semiHidden/>
    <w:unhideWhenUsed/>
    <w:rsid w:val="008C05DD"/>
    <w:pPr>
      <w:spacing w:after="120" w:line="480" w:lineRule="auto"/>
    </w:pPr>
  </w:style>
  <w:style w:type="character" w:customStyle="1" w:styleId="BodyText2Char">
    <w:name w:val="Body Text 2 Char"/>
    <w:basedOn w:val="DefaultParagraphFont"/>
    <w:link w:val="BodyText2"/>
    <w:semiHidden/>
    <w:rsid w:val="008C05DD"/>
    <w:rPr>
      <w:rFonts w:ascii="Arial" w:hAnsi="Arial"/>
      <w:lang w:val="en-GB"/>
    </w:rPr>
  </w:style>
  <w:style w:type="paragraph" w:styleId="BodyText3">
    <w:name w:val="Body Text 3"/>
    <w:basedOn w:val="Normal"/>
    <w:link w:val="BodyText3Char"/>
    <w:semiHidden/>
    <w:rsid w:val="008C05DD"/>
    <w:pPr>
      <w:jc w:val="center"/>
    </w:pPr>
    <w:rPr>
      <w:rFonts w:ascii="Times New Roman" w:eastAsia="Times New Roman" w:hAnsi="Times New Roman" w:cs="Times New Roman"/>
      <w:b/>
      <w:bCs/>
      <w:sz w:val="28"/>
    </w:rPr>
  </w:style>
  <w:style w:type="character" w:customStyle="1" w:styleId="BodyText3Char">
    <w:name w:val="Body Text 3 Char"/>
    <w:basedOn w:val="DefaultParagraphFont"/>
    <w:link w:val="BodyText3"/>
    <w:semiHidden/>
    <w:rsid w:val="008C05DD"/>
    <w:rPr>
      <w:rFonts w:ascii="Times New Roman" w:eastAsia="Times New Roman" w:hAnsi="Times New Roman" w:cs="Times New Roman"/>
      <w:b/>
      <w:bCs/>
      <w:sz w:val="28"/>
      <w:lang w:val="en-GB"/>
    </w:rPr>
  </w:style>
  <w:style w:type="paragraph" w:styleId="BodyTextIndent">
    <w:name w:val="Body Text Indent"/>
    <w:basedOn w:val="Normal"/>
    <w:link w:val="BodyTextIndentChar"/>
    <w:semiHidden/>
    <w:rsid w:val="008C05DD"/>
    <w:pPr>
      <w:ind w:firstLine="720"/>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8C05DD"/>
    <w:rPr>
      <w:rFonts w:ascii="Times New Roman" w:eastAsia="Times New Roman" w:hAnsi="Times New Roman" w:cs="Times New Roman"/>
      <w:sz w:val="20"/>
      <w:szCs w:val="20"/>
    </w:rPr>
  </w:style>
  <w:style w:type="paragraph" w:styleId="PlainText">
    <w:name w:val="Plain Text"/>
    <w:basedOn w:val="Normal"/>
    <w:link w:val="PlainTextChar"/>
    <w:semiHidden/>
    <w:rsid w:val="008C05DD"/>
    <w:pPr>
      <w:jc w:val="both"/>
    </w:pPr>
    <w:rPr>
      <w:rFonts w:ascii="Gill Sans MT" w:eastAsia="Times New Roman" w:hAnsi="Gill Sans MT" w:cs="Times New Roman"/>
      <w:sz w:val="20"/>
      <w:szCs w:val="20"/>
      <w:lang w:val="en-US"/>
    </w:rPr>
  </w:style>
  <w:style w:type="character" w:customStyle="1" w:styleId="PlainTextChar">
    <w:name w:val="Plain Text Char"/>
    <w:basedOn w:val="DefaultParagraphFont"/>
    <w:link w:val="PlainText"/>
    <w:semiHidden/>
    <w:rsid w:val="008C05DD"/>
    <w:rPr>
      <w:rFonts w:ascii="Gill Sans MT" w:eastAsia="Times New Roman" w:hAnsi="Gill Sans MT" w:cs="Times New Roman"/>
      <w:sz w:val="20"/>
      <w:szCs w:val="20"/>
    </w:rPr>
  </w:style>
  <w:style w:type="character" w:styleId="Strong">
    <w:name w:val="Strong"/>
    <w:basedOn w:val="DefaultParagraphFont"/>
    <w:qFormat/>
    <w:rsid w:val="008C05DD"/>
    <w:rPr>
      <w:b/>
      <w:bCs/>
    </w:rPr>
  </w:style>
  <w:style w:type="paragraph" w:customStyle="1" w:styleId="Default">
    <w:name w:val="Default"/>
    <w:rsid w:val="008C05DD"/>
    <w:pPr>
      <w:autoSpaceDE w:val="0"/>
      <w:autoSpaceDN w:val="0"/>
      <w:adjustRightInd w:val="0"/>
    </w:pPr>
    <w:rPr>
      <w:rFonts w:ascii="Symbol" w:eastAsia="Times New Roman" w:hAnsi="Symbol" w:cs="Times New Roman"/>
      <w:color w:val="000000"/>
    </w:rPr>
  </w:style>
  <w:style w:type="paragraph" w:styleId="BodyTextIndent2">
    <w:name w:val="Body Text Indent 2"/>
    <w:basedOn w:val="Normal"/>
    <w:link w:val="BodyTextIndent2Char"/>
    <w:semiHidden/>
    <w:rsid w:val="008C05DD"/>
    <w:pPr>
      <w:spacing w:line="360" w:lineRule="auto"/>
      <w:ind w:firstLine="720"/>
      <w:jc w:val="both"/>
    </w:pPr>
    <w:rPr>
      <w:rFonts w:eastAsia="Times New Roman" w:cs="Times New Roman"/>
      <w:szCs w:val="20"/>
    </w:rPr>
  </w:style>
  <w:style w:type="character" w:customStyle="1" w:styleId="BodyTextIndent2Char">
    <w:name w:val="Body Text Indent 2 Char"/>
    <w:basedOn w:val="DefaultParagraphFont"/>
    <w:link w:val="BodyTextIndent2"/>
    <w:semiHidden/>
    <w:rsid w:val="008C05DD"/>
    <w:rPr>
      <w:rFonts w:ascii="Arial" w:eastAsia="Times New Roman" w:hAnsi="Arial" w:cs="Times New Roman"/>
      <w:szCs w:val="20"/>
      <w:lang w:val="en-GB"/>
    </w:rPr>
  </w:style>
  <w:style w:type="paragraph" w:styleId="BlockText">
    <w:name w:val="Block Text"/>
    <w:basedOn w:val="Normal"/>
    <w:rsid w:val="008C05DD"/>
    <w:pPr>
      <w:ind w:left="2160" w:right="2160"/>
      <w:jc w:val="both"/>
    </w:pPr>
    <w:rPr>
      <w:rFonts w:ascii="Times New Roman" w:eastAsia="Times New Roman" w:hAnsi="Times New Roman" w:cs="Times New Roman"/>
      <w:snapToGrid w:val="0"/>
      <w:sz w:val="20"/>
      <w:szCs w:val="20"/>
      <w:lang w:val="en-US"/>
    </w:rPr>
  </w:style>
  <w:style w:type="character" w:styleId="PageNumber">
    <w:name w:val="page number"/>
    <w:basedOn w:val="DefaultParagraphFont"/>
    <w:semiHidden/>
    <w:rsid w:val="008C05DD"/>
  </w:style>
  <w:style w:type="paragraph" w:styleId="Title">
    <w:name w:val="Title"/>
    <w:basedOn w:val="Normal"/>
    <w:link w:val="TitleChar"/>
    <w:qFormat/>
    <w:rsid w:val="008C05DD"/>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8C05DD"/>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8C05DD"/>
    <w:rPr>
      <w:i/>
      <w:iCs/>
    </w:rPr>
  </w:style>
  <w:style w:type="table" w:styleId="LightShading-Accent2">
    <w:name w:val="Light Shading Accent 2"/>
    <w:basedOn w:val="TableNormal"/>
    <w:uiPriority w:val="60"/>
    <w:rsid w:val="008C05DD"/>
    <w:rPr>
      <w:rFonts w:ascii="Times New Roman" w:eastAsia="Times New Roman" w:hAnsi="Times New Roman" w:cs="Times New Roman"/>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rsid w:val="004E77C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5">
    <w:name w:val="Medium Shading 1 Accent 5"/>
    <w:basedOn w:val="TableNormal"/>
    <w:rsid w:val="008B6EE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rsid w:val="00BD1CC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Revision">
    <w:name w:val="Revision"/>
    <w:hidden/>
    <w:semiHidden/>
    <w:rsid w:val="00856B4F"/>
    <w:rPr>
      <w:rFonts w:ascii="Arial" w:hAnsi="Arial"/>
      <w:lang w:val="en-GB"/>
    </w:rPr>
  </w:style>
  <w:style w:type="table" w:styleId="LightGrid-Accent5">
    <w:name w:val="Light Grid Accent 5"/>
    <w:basedOn w:val="TableNormal"/>
    <w:rsid w:val="00AF1D8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rsid w:val="00BD054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rsid w:val="00BD054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BD054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76">
    <w:lsdException w:name="Normal" w:semiHidden="0"/>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99"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iPriority="99"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uiPriority="61"/>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uiPriority="67"/>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uiPriority="6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5243"/>
    <w:rPr>
      <w:rFonts w:ascii="Arial" w:hAnsi="Arial"/>
      <w:lang w:val="en-GB"/>
    </w:rPr>
  </w:style>
  <w:style w:type="paragraph" w:styleId="Heading1">
    <w:name w:val="heading 1"/>
    <w:basedOn w:val="Normal"/>
    <w:next w:val="Normal"/>
    <w:link w:val="Heading1Char"/>
    <w:autoRedefine/>
    <w:qFormat/>
    <w:rsid w:val="00F26D47"/>
    <w:pPr>
      <w:keepNext/>
      <w:keepLines/>
      <w:numPr>
        <w:numId w:val="25"/>
      </w:numPr>
      <w:spacing w:after="480"/>
      <w:jc w:val="both"/>
      <w:outlineLvl w:val="0"/>
    </w:pPr>
    <w:rPr>
      <w:rFonts w:eastAsiaTheme="majorEastAsia" w:cs="Arial"/>
      <w:bCs/>
      <w:color w:val="31849B" w:themeColor="accent5" w:themeShade="BF"/>
      <w:sz w:val="28"/>
      <w:szCs w:val="26"/>
    </w:rPr>
  </w:style>
  <w:style w:type="paragraph" w:styleId="Heading2">
    <w:name w:val="heading 2"/>
    <w:basedOn w:val="Normal"/>
    <w:next w:val="Normal"/>
    <w:link w:val="Heading2Char"/>
    <w:autoRedefine/>
    <w:unhideWhenUsed/>
    <w:qFormat/>
    <w:rsid w:val="00A3129E"/>
    <w:pPr>
      <w:keepNext/>
      <w:keepLines/>
      <w:numPr>
        <w:ilvl w:val="1"/>
        <w:numId w:val="25"/>
      </w:numPr>
      <w:spacing w:before="120" w:after="240"/>
      <w:jc w:val="both"/>
      <w:outlineLvl w:val="1"/>
    </w:pPr>
    <w:rPr>
      <w:rFonts w:ascii="Helvetica" w:eastAsiaTheme="majorEastAsia" w:hAnsi="Helvetica" w:cstheme="majorBidi"/>
      <w:bCs/>
      <w:color w:val="31849B" w:themeColor="accent5" w:themeShade="BF"/>
    </w:rPr>
  </w:style>
  <w:style w:type="paragraph" w:styleId="Heading3">
    <w:name w:val="heading 3"/>
    <w:basedOn w:val="Normal"/>
    <w:next w:val="Normal"/>
    <w:link w:val="Heading3Char"/>
    <w:autoRedefine/>
    <w:unhideWhenUsed/>
    <w:qFormat/>
    <w:rsid w:val="004C4A79"/>
    <w:pPr>
      <w:keepNext/>
      <w:keepLines/>
      <w:numPr>
        <w:ilvl w:val="2"/>
        <w:numId w:val="25"/>
      </w:numPr>
      <w:spacing w:before="120" w:after="120"/>
      <w:jc w:val="both"/>
      <w:outlineLvl w:val="2"/>
    </w:pPr>
    <w:rPr>
      <w:rFonts w:eastAsiaTheme="majorEastAsia" w:cs="Arial"/>
      <w:bCs/>
      <w:color w:val="31849B" w:themeColor="accent5" w:themeShade="BF"/>
    </w:rPr>
  </w:style>
  <w:style w:type="paragraph" w:styleId="Heading4">
    <w:name w:val="heading 4"/>
    <w:basedOn w:val="Normal"/>
    <w:next w:val="Normal"/>
    <w:link w:val="Heading4Char"/>
    <w:unhideWhenUsed/>
    <w:qFormat/>
    <w:rsid w:val="00711027"/>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11027"/>
    <w:pPr>
      <w:keepNext/>
      <w:keepLines/>
      <w:numPr>
        <w:ilvl w:val="4"/>
        <w:numId w:val="25"/>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nhideWhenUsed/>
    <w:qFormat/>
    <w:rsid w:val="00711027"/>
    <w:pPr>
      <w:keepNext/>
      <w:keepLines/>
      <w:numPr>
        <w:ilvl w:val="5"/>
        <w:numId w:val="25"/>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711027"/>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1027"/>
    <w:pPr>
      <w:keepNext/>
      <w:keepLines/>
      <w:numPr>
        <w:ilvl w:val="7"/>
        <w:numId w:val="25"/>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711027"/>
    <w:pPr>
      <w:keepNext/>
      <w:keepLines/>
      <w:numPr>
        <w:ilvl w:val="8"/>
        <w:numId w:val="25"/>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B82267"/>
    <w:rPr>
      <w:rFonts w:ascii="Lucida Grande" w:hAnsi="Lucida Grande" w:cs="Lucida Grande"/>
      <w:sz w:val="18"/>
      <w:szCs w:val="18"/>
    </w:rPr>
  </w:style>
  <w:style w:type="character" w:customStyle="1" w:styleId="BalloonTextChar">
    <w:name w:val="Balloon Text Char"/>
    <w:basedOn w:val="DefaultParagraphFont"/>
    <w:uiPriority w:val="99"/>
    <w:semiHidden/>
    <w:rsid w:val="000C4A5B"/>
    <w:rPr>
      <w:rFonts w:ascii="Lucida Grande" w:hAnsi="Lucida Grande"/>
      <w:sz w:val="18"/>
      <w:szCs w:val="18"/>
    </w:rPr>
  </w:style>
  <w:style w:type="character" w:customStyle="1" w:styleId="Heading1Char">
    <w:name w:val="Heading 1 Char"/>
    <w:basedOn w:val="DefaultParagraphFont"/>
    <w:link w:val="Heading1"/>
    <w:rsid w:val="00F26D47"/>
    <w:rPr>
      <w:rFonts w:ascii="Arial" w:eastAsiaTheme="majorEastAsia" w:hAnsi="Arial" w:cs="Arial"/>
      <w:bCs/>
      <w:color w:val="31849B" w:themeColor="accent5" w:themeShade="BF"/>
      <w:sz w:val="28"/>
      <w:szCs w:val="26"/>
      <w:lang w:val="en-GB"/>
    </w:rPr>
  </w:style>
  <w:style w:type="character" w:customStyle="1" w:styleId="Heading2Char">
    <w:name w:val="Heading 2 Char"/>
    <w:basedOn w:val="DefaultParagraphFont"/>
    <w:link w:val="Heading2"/>
    <w:rsid w:val="00A3129E"/>
    <w:rPr>
      <w:rFonts w:ascii="Helvetica" w:eastAsiaTheme="majorEastAsia" w:hAnsi="Helvetica" w:cstheme="majorBidi"/>
      <w:bCs/>
      <w:color w:val="31849B" w:themeColor="accent5" w:themeShade="BF"/>
      <w:lang w:val="en-GB"/>
    </w:rPr>
  </w:style>
  <w:style w:type="character" w:customStyle="1" w:styleId="Heading3Char">
    <w:name w:val="Heading 3 Char"/>
    <w:basedOn w:val="DefaultParagraphFont"/>
    <w:link w:val="Heading3"/>
    <w:rsid w:val="004C4A79"/>
    <w:rPr>
      <w:rFonts w:ascii="Arial" w:eastAsiaTheme="majorEastAsia" w:hAnsi="Arial" w:cs="Arial"/>
      <w:bCs/>
      <w:color w:val="31849B" w:themeColor="accent5" w:themeShade="BF"/>
      <w:lang w:val="en-GB"/>
    </w:rPr>
  </w:style>
  <w:style w:type="character" w:customStyle="1" w:styleId="Heading4Char">
    <w:name w:val="Heading 4 Char"/>
    <w:basedOn w:val="DefaultParagraphFont"/>
    <w:link w:val="Heading4"/>
    <w:rsid w:val="00711027"/>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rsid w:val="00711027"/>
    <w:rPr>
      <w:rFonts w:asciiTheme="majorHAnsi" w:eastAsiaTheme="majorEastAsia" w:hAnsiTheme="majorHAnsi" w:cstheme="majorBidi"/>
      <w:color w:val="244061" w:themeColor="accent1" w:themeShade="80"/>
      <w:lang w:val="en-GB"/>
    </w:rPr>
  </w:style>
  <w:style w:type="character" w:customStyle="1" w:styleId="Heading6Char">
    <w:name w:val="Heading 6 Char"/>
    <w:basedOn w:val="DefaultParagraphFont"/>
    <w:link w:val="Heading6"/>
    <w:rsid w:val="00711027"/>
    <w:rPr>
      <w:rFonts w:asciiTheme="majorHAnsi" w:eastAsiaTheme="majorEastAsia" w:hAnsiTheme="majorHAnsi" w:cstheme="majorBidi"/>
      <w:i/>
      <w:iCs/>
      <w:color w:val="244061" w:themeColor="accent1" w:themeShade="80"/>
      <w:lang w:val="en-GB"/>
    </w:rPr>
  </w:style>
  <w:style w:type="character" w:customStyle="1" w:styleId="Heading7Char">
    <w:name w:val="Heading 7 Char"/>
    <w:basedOn w:val="DefaultParagraphFont"/>
    <w:link w:val="Heading7"/>
    <w:uiPriority w:val="9"/>
    <w:semiHidden/>
    <w:rsid w:val="0071102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11027"/>
    <w:rPr>
      <w:rFonts w:asciiTheme="majorHAnsi" w:eastAsiaTheme="majorEastAsia" w:hAnsiTheme="majorHAnsi" w:cstheme="majorBidi"/>
      <w:color w:val="363636" w:themeColor="text1" w:themeTint="C9"/>
      <w:sz w:val="20"/>
      <w:szCs w:val="20"/>
      <w:lang w:val="en-GB"/>
    </w:rPr>
  </w:style>
  <w:style w:type="character" w:customStyle="1" w:styleId="Heading9Char">
    <w:name w:val="Heading 9 Char"/>
    <w:basedOn w:val="DefaultParagraphFont"/>
    <w:link w:val="Heading9"/>
    <w:uiPriority w:val="9"/>
    <w:semiHidden/>
    <w:rsid w:val="00711027"/>
    <w:rPr>
      <w:rFonts w:asciiTheme="majorHAnsi" w:eastAsiaTheme="majorEastAsia" w:hAnsiTheme="majorHAnsi" w:cstheme="majorBidi"/>
      <w:i/>
      <w:iCs/>
      <w:color w:val="363636" w:themeColor="text1" w:themeTint="C9"/>
      <w:sz w:val="20"/>
      <w:szCs w:val="20"/>
      <w:lang w:val="en-GB"/>
    </w:rPr>
  </w:style>
  <w:style w:type="character" w:customStyle="1" w:styleId="BalloonTextChar1">
    <w:name w:val="Balloon Text Char1"/>
    <w:basedOn w:val="DefaultParagraphFont"/>
    <w:link w:val="BalloonText"/>
    <w:uiPriority w:val="99"/>
    <w:semiHidden/>
    <w:rsid w:val="00B82267"/>
    <w:rPr>
      <w:rFonts w:ascii="Lucida Grande" w:hAnsi="Lucida Grande" w:cs="Lucida Grande"/>
      <w:sz w:val="18"/>
      <w:szCs w:val="18"/>
    </w:rPr>
  </w:style>
  <w:style w:type="character" w:customStyle="1" w:styleId="BalloonTextChar0">
    <w:name w:val="Balloon Text Char"/>
    <w:basedOn w:val="DefaultParagraphFont"/>
    <w:uiPriority w:val="99"/>
    <w:semiHidden/>
    <w:rsid w:val="00A016DB"/>
    <w:rPr>
      <w:rFonts w:ascii="Lucida Grande" w:hAnsi="Lucida Grande"/>
      <w:sz w:val="18"/>
      <w:szCs w:val="18"/>
    </w:rPr>
  </w:style>
  <w:style w:type="character" w:customStyle="1" w:styleId="BalloonTextChar2">
    <w:name w:val="Balloon Text Char"/>
    <w:basedOn w:val="DefaultParagraphFont"/>
    <w:uiPriority w:val="99"/>
    <w:semiHidden/>
    <w:rsid w:val="00A016DB"/>
    <w:rPr>
      <w:rFonts w:ascii="Lucida Grande" w:hAnsi="Lucida Grande"/>
      <w:sz w:val="18"/>
      <w:szCs w:val="18"/>
    </w:rPr>
  </w:style>
  <w:style w:type="character" w:customStyle="1" w:styleId="BalloonTextChar3">
    <w:name w:val="Balloon Text Char"/>
    <w:basedOn w:val="DefaultParagraphFont"/>
    <w:uiPriority w:val="99"/>
    <w:semiHidden/>
    <w:rsid w:val="00FC252A"/>
    <w:rPr>
      <w:rFonts w:ascii="Lucida Grande" w:hAnsi="Lucida Grande"/>
      <w:sz w:val="18"/>
      <w:szCs w:val="18"/>
    </w:rPr>
  </w:style>
  <w:style w:type="character" w:customStyle="1" w:styleId="BalloonTextChar4">
    <w:name w:val="Balloon Text Char"/>
    <w:basedOn w:val="DefaultParagraphFont"/>
    <w:uiPriority w:val="99"/>
    <w:semiHidden/>
    <w:rsid w:val="00FC252A"/>
    <w:rPr>
      <w:rFonts w:ascii="Lucida Grande" w:hAnsi="Lucida Grande"/>
      <w:sz w:val="18"/>
      <w:szCs w:val="18"/>
    </w:rPr>
  </w:style>
  <w:style w:type="character" w:customStyle="1" w:styleId="BalloonTextChar5">
    <w:name w:val="Balloon Text Char"/>
    <w:basedOn w:val="DefaultParagraphFont"/>
    <w:uiPriority w:val="99"/>
    <w:semiHidden/>
    <w:rsid w:val="00FC252A"/>
    <w:rPr>
      <w:rFonts w:ascii="Lucida Grande" w:hAnsi="Lucida Grande"/>
      <w:sz w:val="18"/>
      <w:szCs w:val="18"/>
    </w:rPr>
  </w:style>
  <w:style w:type="character" w:customStyle="1" w:styleId="BalloonTextChar6">
    <w:name w:val="Balloon Text Char"/>
    <w:basedOn w:val="DefaultParagraphFont"/>
    <w:uiPriority w:val="99"/>
    <w:rsid w:val="00FC252A"/>
    <w:rPr>
      <w:rFonts w:ascii="Lucida Grande" w:hAnsi="Lucida Grande"/>
      <w:sz w:val="18"/>
      <w:szCs w:val="18"/>
    </w:rPr>
  </w:style>
  <w:style w:type="paragraph" w:styleId="FootnoteText">
    <w:name w:val="footnote text"/>
    <w:basedOn w:val="Normal"/>
    <w:link w:val="FootnoteTextChar"/>
    <w:uiPriority w:val="99"/>
    <w:unhideWhenUsed/>
    <w:rsid w:val="001972A8"/>
  </w:style>
  <w:style w:type="character" w:customStyle="1" w:styleId="FootnoteTextChar">
    <w:name w:val="Footnote Text Char"/>
    <w:basedOn w:val="DefaultParagraphFont"/>
    <w:link w:val="FootnoteText"/>
    <w:uiPriority w:val="99"/>
    <w:rsid w:val="001972A8"/>
  </w:style>
  <w:style w:type="character" w:styleId="FootnoteReference">
    <w:name w:val="footnote reference"/>
    <w:basedOn w:val="DefaultParagraphFont"/>
    <w:uiPriority w:val="99"/>
    <w:unhideWhenUsed/>
    <w:rsid w:val="001972A8"/>
    <w:rPr>
      <w:vertAlign w:val="superscript"/>
    </w:rPr>
  </w:style>
  <w:style w:type="paragraph" w:styleId="ListParagraph">
    <w:name w:val="List Paragraph"/>
    <w:basedOn w:val="Normal"/>
    <w:uiPriority w:val="34"/>
    <w:qFormat/>
    <w:rsid w:val="008665F0"/>
    <w:pPr>
      <w:numPr>
        <w:numId w:val="8"/>
      </w:numPr>
      <w:contextualSpacing/>
    </w:pPr>
  </w:style>
  <w:style w:type="character" w:styleId="CommentReference">
    <w:name w:val="annotation reference"/>
    <w:basedOn w:val="DefaultParagraphFont"/>
    <w:uiPriority w:val="99"/>
    <w:semiHidden/>
    <w:unhideWhenUsed/>
    <w:rsid w:val="00FE3A0D"/>
    <w:rPr>
      <w:sz w:val="18"/>
      <w:szCs w:val="18"/>
    </w:rPr>
  </w:style>
  <w:style w:type="paragraph" w:styleId="CommentText">
    <w:name w:val="annotation text"/>
    <w:basedOn w:val="Normal"/>
    <w:link w:val="CommentTextChar"/>
    <w:uiPriority w:val="99"/>
    <w:semiHidden/>
    <w:unhideWhenUsed/>
    <w:rsid w:val="00FE3A0D"/>
  </w:style>
  <w:style w:type="character" w:customStyle="1" w:styleId="CommentTextChar">
    <w:name w:val="Comment Text Char"/>
    <w:basedOn w:val="DefaultParagraphFont"/>
    <w:link w:val="CommentText"/>
    <w:uiPriority w:val="99"/>
    <w:semiHidden/>
    <w:rsid w:val="00FE3A0D"/>
  </w:style>
  <w:style w:type="paragraph" w:styleId="CommentSubject">
    <w:name w:val="annotation subject"/>
    <w:basedOn w:val="CommentText"/>
    <w:next w:val="CommentText"/>
    <w:link w:val="CommentSubjectChar"/>
    <w:uiPriority w:val="99"/>
    <w:semiHidden/>
    <w:unhideWhenUsed/>
    <w:rsid w:val="00FE3A0D"/>
    <w:rPr>
      <w:b/>
      <w:bCs/>
      <w:sz w:val="20"/>
      <w:szCs w:val="20"/>
    </w:rPr>
  </w:style>
  <w:style w:type="character" w:customStyle="1" w:styleId="CommentSubjectChar">
    <w:name w:val="Comment Subject Char"/>
    <w:basedOn w:val="CommentTextChar"/>
    <w:link w:val="CommentSubject"/>
    <w:uiPriority w:val="99"/>
    <w:semiHidden/>
    <w:rsid w:val="00FE3A0D"/>
    <w:rPr>
      <w:b/>
      <w:bCs/>
      <w:sz w:val="20"/>
      <w:szCs w:val="20"/>
    </w:rPr>
  </w:style>
  <w:style w:type="paragraph" w:styleId="Header">
    <w:name w:val="header"/>
    <w:basedOn w:val="Normal"/>
    <w:link w:val="HeaderChar"/>
    <w:uiPriority w:val="99"/>
    <w:unhideWhenUsed/>
    <w:rsid w:val="00711027"/>
    <w:pPr>
      <w:tabs>
        <w:tab w:val="center" w:pos="4320"/>
        <w:tab w:val="right" w:pos="8640"/>
      </w:tabs>
    </w:pPr>
  </w:style>
  <w:style w:type="character" w:customStyle="1" w:styleId="HeaderChar">
    <w:name w:val="Header Char"/>
    <w:basedOn w:val="DefaultParagraphFont"/>
    <w:link w:val="Header"/>
    <w:uiPriority w:val="99"/>
    <w:rsid w:val="00711027"/>
  </w:style>
  <w:style w:type="paragraph" w:styleId="Footer">
    <w:name w:val="footer"/>
    <w:basedOn w:val="Normal"/>
    <w:link w:val="FooterChar"/>
    <w:unhideWhenUsed/>
    <w:rsid w:val="00711027"/>
    <w:pPr>
      <w:tabs>
        <w:tab w:val="center" w:pos="4320"/>
        <w:tab w:val="right" w:pos="8640"/>
      </w:tabs>
    </w:pPr>
  </w:style>
  <w:style w:type="character" w:customStyle="1" w:styleId="FooterChar">
    <w:name w:val="Footer Char"/>
    <w:basedOn w:val="DefaultParagraphFont"/>
    <w:link w:val="Footer"/>
    <w:uiPriority w:val="99"/>
    <w:rsid w:val="00711027"/>
  </w:style>
  <w:style w:type="paragraph" w:styleId="NormalWeb">
    <w:name w:val="Normal (Web)"/>
    <w:basedOn w:val="Normal"/>
    <w:uiPriority w:val="99"/>
    <w:rsid w:val="007F07CC"/>
    <w:pPr>
      <w:spacing w:beforeLines="1" w:afterLines="1"/>
    </w:pPr>
    <w:rPr>
      <w:rFonts w:ascii="Times" w:hAnsi="Times" w:cs="Times New Roman"/>
      <w:sz w:val="20"/>
      <w:szCs w:val="20"/>
      <w:lang w:val="en-US"/>
    </w:rPr>
  </w:style>
  <w:style w:type="paragraph" w:styleId="Caption">
    <w:name w:val="caption"/>
    <w:basedOn w:val="Normal"/>
    <w:next w:val="Normal"/>
    <w:rsid w:val="003F3EDC"/>
    <w:pPr>
      <w:spacing w:after="200"/>
    </w:pPr>
    <w:rPr>
      <w:b/>
      <w:bCs/>
      <w:color w:val="4F81BD" w:themeColor="accent1"/>
      <w:sz w:val="18"/>
      <w:szCs w:val="18"/>
    </w:rPr>
  </w:style>
  <w:style w:type="paragraph" w:customStyle="1" w:styleId="TableList">
    <w:name w:val="TableList"/>
    <w:basedOn w:val="ListParagraph"/>
    <w:autoRedefine/>
    <w:qFormat/>
    <w:rsid w:val="00EB2031"/>
    <w:pPr>
      <w:widowControl w:val="0"/>
      <w:numPr>
        <w:numId w:val="44"/>
      </w:numPr>
      <w:tabs>
        <w:tab w:val="left" w:pos="993"/>
      </w:tabs>
      <w:autoSpaceDE w:val="0"/>
      <w:autoSpaceDN w:val="0"/>
      <w:adjustRightInd w:val="0"/>
      <w:jc w:val="both"/>
    </w:pPr>
    <w:rPr>
      <w:rFonts w:cs="Arial"/>
      <w:color w:val="0000FF"/>
      <w:sz w:val="22"/>
    </w:rPr>
  </w:style>
  <w:style w:type="character" w:styleId="Hyperlink">
    <w:name w:val="Hyperlink"/>
    <w:basedOn w:val="DefaultParagraphFont"/>
    <w:uiPriority w:val="99"/>
    <w:rsid w:val="00984E02"/>
    <w:rPr>
      <w:color w:val="0000FF" w:themeColor="hyperlink"/>
      <w:u w:val="single"/>
    </w:rPr>
  </w:style>
  <w:style w:type="table" w:styleId="TableGrid">
    <w:name w:val="Table Grid"/>
    <w:basedOn w:val="TableNormal"/>
    <w:uiPriority w:val="59"/>
    <w:rsid w:val="00D774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igureList">
    <w:name w:val="FigureList"/>
    <w:basedOn w:val="TableList"/>
    <w:autoRedefine/>
    <w:qFormat/>
    <w:rsid w:val="00F523E7"/>
    <w:pPr>
      <w:numPr>
        <w:numId w:val="9"/>
      </w:numPr>
      <w:spacing w:before="120"/>
    </w:pPr>
  </w:style>
  <w:style w:type="character" w:customStyle="1" w:styleId="apple-converted-space">
    <w:name w:val="apple-converted-space"/>
    <w:basedOn w:val="DefaultParagraphFont"/>
    <w:rsid w:val="001D45DC"/>
  </w:style>
  <w:style w:type="paragraph" w:styleId="EndnoteText">
    <w:name w:val="endnote text"/>
    <w:basedOn w:val="Normal"/>
    <w:link w:val="EndnoteTextChar"/>
    <w:rsid w:val="001D45DC"/>
  </w:style>
  <w:style w:type="character" w:customStyle="1" w:styleId="EndnoteTextChar">
    <w:name w:val="Endnote Text Char"/>
    <w:basedOn w:val="DefaultParagraphFont"/>
    <w:link w:val="EndnoteText"/>
    <w:uiPriority w:val="99"/>
    <w:rsid w:val="001D45DC"/>
    <w:rPr>
      <w:lang w:val="en-GB"/>
    </w:rPr>
  </w:style>
  <w:style w:type="character" w:styleId="EndnoteReference">
    <w:name w:val="endnote reference"/>
    <w:basedOn w:val="DefaultParagraphFont"/>
    <w:uiPriority w:val="99"/>
    <w:rsid w:val="001D45DC"/>
    <w:rPr>
      <w:vertAlign w:val="superscript"/>
    </w:rPr>
  </w:style>
  <w:style w:type="paragraph" w:styleId="NoSpacing">
    <w:name w:val="No Spacing"/>
    <w:uiPriority w:val="1"/>
    <w:qFormat/>
    <w:rsid w:val="00362BD9"/>
    <w:rPr>
      <w:rFonts w:eastAsiaTheme="minorHAnsi"/>
      <w:sz w:val="22"/>
      <w:szCs w:val="22"/>
    </w:rPr>
  </w:style>
  <w:style w:type="paragraph" w:customStyle="1" w:styleId="AppendixHeading">
    <w:name w:val="Appendix Heading"/>
    <w:basedOn w:val="Normal"/>
    <w:autoRedefine/>
    <w:qFormat/>
    <w:rsid w:val="008D097E"/>
    <w:pPr>
      <w:spacing w:before="120" w:after="120"/>
      <w:jc w:val="both"/>
    </w:pPr>
    <w:rPr>
      <w:rFonts w:ascii="Eurostile" w:eastAsiaTheme="minorHAnsi" w:hAnsi="Eurostile"/>
      <w:b/>
      <w:color w:val="000090"/>
      <w:sz w:val="22"/>
    </w:rPr>
  </w:style>
  <w:style w:type="paragraph" w:customStyle="1" w:styleId="Proposal2">
    <w:name w:val="Proposal 2"/>
    <w:basedOn w:val="Normal"/>
    <w:autoRedefine/>
    <w:qFormat/>
    <w:rsid w:val="008D097E"/>
    <w:pPr>
      <w:spacing w:before="120" w:after="240"/>
      <w:jc w:val="both"/>
    </w:pPr>
    <w:rPr>
      <w:rFonts w:eastAsiaTheme="minorHAnsi"/>
      <w:b/>
      <w:color w:val="548DD4" w:themeColor="text2" w:themeTint="99"/>
      <w:sz w:val="28"/>
      <w:lang w:val="en-US"/>
    </w:rPr>
  </w:style>
  <w:style w:type="paragraph" w:customStyle="1" w:styleId="STATUS-TITLE3">
    <w:name w:val="STATUS - TITLE 3"/>
    <w:basedOn w:val="Normal"/>
    <w:autoRedefine/>
    <w:qFormat/>
    <w:rsid w:val="008D097E"/>
    <w:pPr>
      <w:spacing w:before="120" w:after="120"/>
      <w:jc w:val="both"/>
    </w:pPr>
    <w:rPr>
      <w:rFonts w:ascii="Helvetica Neue Light" w:eastAsiaTheme="minorHAnsi" w:hAnsi="Helvetica Neue Light"/>
      <w:b/>
      <w:sz w:val="22"/>
    </w:rPr>
  </w:style>
  <w:style w:type="paragraph" w:customStyle="1" w:styleId="STATUS-TITLE2">
    <w:name w:val="STATUS - TITLE 2"/>
    <w:basedOn w:val="Normal"/>
    <w:autoRedefine/>
    <w:qFormat/>
    <w:rsid w:val="008D097E"/>
    <w:pPr>
      <w:numPr>
        <w:ilvl w:val="1"/>
        <w:numId w:val="5"/>
      </w:numPr>
      <w:shd w:val="solid" w:color="DAEEF3" w:themeColor="accent5" w:themeTint="33" w:fill="auto"/>
      <w:spacing w:before="120" w:after="360"/>
    </w:pPr>
    <w:rPr>
      <w:rFonts w:ascii="Helvetica Neue" w:eastAsiaTheme="minorHAnsi" w:hAnsi="Helvetica Neue"/>
      <w:b/>
      <w:sz w:val="28"/>
    </w:rPr>
  </w:style>
  <w:style w:type="paragraph" w:customStyle="1" w:styleId="MetisBulletHeading">
    <w:name w:val="MetisBulletHeading"/>
    <w:basedOn w:val="ListParagraph"/>
    <w:autoRedefine/>
    <w:qFormat/>
    <w:rsid w:val="008D097E"/>
    <w:pPr>
      <w:numPr>
        <w:numId w:val="1"/>
      </w:numPr>
      <w:spacing w:before="120" w:after="120"/>
      <w:jc w:val="both"/>
    </w:pPr>
    <w:rPr>
      <w:rFonts w:ascii="Blackmoor LET" w:eastAsiaTheme="minorHAnsi" w:hAnsi="Blackmoor LET"/>
      <w:b/>
      <w:color w:val="4A442A" w:themeColor="background2" w:themeShade="40"/>
      <w:sz w:val="22"/>
    </w:rPr>
  </w:style>
  <w:style w:type="paragraph" w:customStyle="1" w:styleId="MetisSectionHeading">
    <w:name w:val="MetisSectionHeading"/>
    <w:basedOn w:val="Normal"/>
    <w:autoRedefine/>
    <w:qFormat/>
    <w:rsid w:val="008D097E"/>
    <w:pPr>
      <w:spacing w:before="240" w:after="360"/>
      <w:jc w:val="both"/>
    </w:pPr>
    <w:rPr>
      <w:rFonts w:eastAsiaTheme="minorHAnsi"/>
      <w:b/>
      <w:color w:val="4A442A" w:themeColor="background2" w:themeShade="40"/>
      <w:sz w:val="28"/>
    </w:rPr>
  </w:style>
  <w:style w:type="paragraph" w:customStyle="1" w:styleId="PlainHeading">
    <w:name w:val="Plain Heading"/>
    <w:basedOn w:val="Normal"/>
    <w:autoRedefine/>
    <w:qFormat/>
    <w:rsid w:val="008D097E"/>
    <w:pPr>
      <w:spacing w:before="120" w:after="120"/>
      <w:jc w:val="both"/>
    </w:pPr>
    <w:rPr>
      <w:rFonts w:ascii="Blackmoor LET" w:eastAsiaTheme="minorHAnsi" w:hAnsi="Blackmoor LET"/>
      <w:b/>
      <w:color w:val="800000"/>
      <w:sz w:val="32"/>
    </w:rPr>
  </w:style>
  <w:style w:type="paragraph" w:customStyle="1" w:styleId="MMM">
    <w:name w:val="MMM"/>
    <w:basedOn w:val="BodyText"/>
    <w:autoRedefine/>
    <w:qFormat/>
    <w:rsid w:val="008D097E"/>
    <w:pPr>
      <w:shd w:val="clear" w:color="auto" w:fill="00003C"/>
      <w:spacing w:after="0"/>
      <w:jc w:val="both"/>
    </w:pPr>
    <w:rPr>
      <w:rFonts w:ascii="Helvetica Neue Light" w:eastAsia="Times New Roman" w:hAnsi="Helvetica Neue Light" w:cs="Microsoft Sans Serif"/>
      <w:color w:val="FFFFFF" w:themeColor="background1"/>
      <w:sz w:val="32"/>
      <w:szCs w:val="22"/>
      <w:lang w:val="en-US"/>
    </w:rPr>
  </w:style>
  <w:style w:type="paragraph" w:styleId="BodyText">
    <w:name w:val="Body Text"/>
    <w:basedOn w:val="Normal"/>
    <w:link w:val="BodyTextChar"/>
    <w:unhideWhenUsed/>
    <w:rsid w:val="008D097E"/>
    <w:pPr>
      <w:spacing w:before="120" w:after="120"/>
    </w:pPr>
    <w:rPr>
      <w:rFonts w:eastAsiaTheme="minorHAnsi"/>
      <w:b/>
      <w:sz w:val="28"/>
    </w:rPr>
  </w:style>
  <w:style w:type="character" w:customStyle="1" w:styleId="BodyTextChar">
    <w:name w:val="Body Text Char"/>
    <w:basedOn w:val="DefaultParagraphFont"/>
    <w:link w:val="BodyText"/>
    <w:uiPriority w:val="99"/>
    <w:rsid w:val="008D097E"/>
    <w:rPr>
      <w:rFonts w:ascii="Arial" w:eastAsiaTheme="minorHAnsi" w:hAnsi="Arial"/>
      <w:b/>
      <w:sz w:val="28"/>
      <w:lang w:val="en-GB"/>
    </w:rPr>
  </w:style>
  <w:style w:type="paragraph" w:customStyle="1" w:styleId="LLL">
    <w:name w:val="LLL"/>
    <w:basedOn w:val="Normal"/>
    <w:autoRedefine/>
    <w:qFormat/>
    <w:rsid w:val="008D097E"/>
    <w:pPr>
      <w:autoSpaceDE w:val="0"/>
      <w:autoSpaceDN w:val="0"/>
      <w:adjustRightInd w:val="0"/>
      <w:spacing w:before="120" w:after="120"/>
      <w:jc w:val="both"/>
    </w:pPr>
    <w:rPr>
      <w:rFonts w:ascii="Helvetica Neue" w:eastAsia="Cambria" w:hAnsi="Helvetica Neue" w:cs="Microsoft Sans Serif"/>
      <w:b/>
      <w:color w:val="000090"/>
      <w:sz w:val="36"/>
      <w:szCs w:val="22"/>
    </w:rPr>
  </w:style>
  <w:style w:type="paragraph" w:customStyle="1" w:styleId="Text">
    <w:name w:val="Text"/>
    <w:basedOn w:val="Normal"/>
    <w:next w:val="Normal"/>
    <w:autoRedefine/>
    <w:qFormat/>
    <w:rsid w:val="008D097E"/>
    <w:pPr>
      <w:spacing w:before="120" w:after="120"/>
      <w:jc w:val="both"/>
    </w:pPr>
    <w:rPr>
      <w:rFonts w:ascii="Helvetica Neue" w:eastAsia="Cambria" w:hAnsi="Helvetica Neue" w:cs="Times New Roman"/>
      <w:b/>
      <w:sz w:val="28"/>
    </w:rPr>
  </w:style>
  <w:style w:type="paragraph" w:customStyle="1" w:styleId="CVL1">
    <w:name w:val="CVL1"/>
    <w:basedOn w:val="Heading1"/>
    <w:autoRedefine/>
    <w:qFormat/>
    <w:rsid w:val="008D097E"/>
    <w:pPr>
      <w:numPr>
        <w:numId w:val="0"/>
      </w:numPr>
      <w:spacing w:before="120" w:after="120"/>
      <w:ind w:right="2405"/>
      <w:jc w:val="left"/>
    </w:pPr>
    <w:rPr>
      <w:rFonts w:ascii="Arial Narrow" w:eastAsia="Cambria" w:hAnsi="Arial Narrow"/>
      <w:color w:val="0000FF"/>
    </w:rPr>
  </w:style>
  <w:style w:type="paragraph" w:customStyle="1" w:styleId="CVL2">
    <w:name w:val="CVL2"/>
    <w:basedOn w:val="Normal"/>
    <w:autoRedefine/>
    <w:qFormat/>
    <w:rsid w:val="008D097E"/>
    <w:pPr>
      <w:spacing w:before="120" w:after="120"/>
      <w:jc w:val="both"/>
      <w:outlineLvl w:val="0"/>
    </w:pPr>
    <w:rPr>
      <w:rFonts w:ascii="Helvetica Neue Light" w:eastAsia="Cambria" w:hAnsi="Helvetica Neue Light" w:cs="Times New Roman"/>
      <w:b/>
      <w:color w:val="000090"/>
      <w:sz w:val="28"/>
    </w:rPr>
  </w:style>
  <w:style w:type="paragraph" w:customStyle="1" w:styleId="Training2">
    <w:name w:val="Training 2"/>
    <w:basedOn w:val="Normal"/>
    <w:autoRedefine/>
    <w:qFormat/>
    <w:rsid w:val="008D097E"/>
    <w:pPr>
      <w:spacing w:before="120" w:after="120"/>
      <w:jc w:val="both"/>
    </w:pPr>
    <w:rPr>
      <w:rFonts w:ascii="Helvetica Neue" w:eastAsia="Cambria" w:hAnsi="Helvetica Neue" w:cs="Times New Roman"/>
      <w:b/>
      <w:color w:val="3366FF"/>
      <w:sz w:val="28"/>
    </w:rPr>
  </w:style>
  <w:style w:type="paragraph" w:customStyle="1" w:styleId="Synopsis">
    <w:name w:val="Synopsis"/>
    <w:basedOn w:val="Normal"/>
    <w:autoRedefine/>
    <w:qFormat/>
    <w:rsid w:val="008D097E"/>
    <w:pPr>
      <w:spacing w:before="120" w:after="120"/>
      <w:ind w:left="176"/>
    </w:pPr>
    <w:rPr>
      <w:rFonts w:eastAsiaTheme="minorHAnsi"/>
      <w:b/>
      <w:i/>
      <w:color w:val="3366FF"/>
      <w:sz w:val="20"/>
    </w:rPr>
  </w:style>
  <w:style w:type="paragraph" w:customStyle="1" w:styleId="Name">
    <w:name w:val="Name"/>
    <w:basedOn w:val="Normal"/>
    <w:autoRedefine/>
    <w:qFormat/>
    <w:rsid w:val="008D097E"/>
    <w:pPr>
      <w:spacing w:before="120" w:after="120"/>
      <w:ind w:left="-57"/>
    </w:pPr>
    <w:rPr>
      <w:rFonts w:ascii="Arial Unicode MS" w:eastAsia="Cambria" w:hAnsi="Arial Unicode MS" w:cs="Calibri"/>
      <w:b/>
      <w:color w:val="0000D0"/>
      <w:sz w:val="22"/>
      <w:szCs w:val="22"/>
    </w:rPr>
  </w:style>
  <w:style w:type="paragraph" w:customStyle="1" w:styleId="BodyTitle">
    <w:name w:val="BodyTitle"/>
    <w:basedOn w:val="Normal"/>
    <w:autoRedefine/>
    <w:rsid w:val="008D097E"/>
    <w:pPr>
      <w:spacing w:before="120" w:after="120"/>
      <w:jc w:val="both"/>
    </w:pPr>
    <w:rPr>
      <w:rFonts w:asciiTheme="majorHAnsi" w:eastAsiaTheme="minorHAnsi" w:hAnsiTheme="majorHAnsi"/>
      <w:b/>
      <w:color w:val="0000FF"/>
      <w:sz w:val="28"/>
    </w:rPr>
  </w:style>
  <w:style w:type="paragraph" w:customStyle="1" w:styleId="BodyEmphasis">
    <w:name w:val="BodyEmphasis"/>
    <w:basedOn w:val="Normal"/>
    <w:autoRedefine/>
    <w:rsid w:val="008D097E"/>
    <w:pPr>
      <w:spacing w:before="120" w:after="120"/>
      <w:jc w:val="both"/>
    </w:pPr>
    <w:rPr>
      <w:rFonts w:asciiTheme="majorHAnsi" w:eastAsiaTheme="minorHAnsi" w:hAnsiTheme="majorHAnsi"/>
      <w:b/>
      <w:color w:val="0000D5"/>
      <w:sz w:val="22"/>
    </w:rPr>
  </w:style>
  <w:style w:type="paragraph" w:customStyle="1" w:styleId="Break">
    <w:name w:val="Break"/>
    <w:basedOn w:val="Normal"/>
    <w:autoRedefine/>
    <w:rsid w:val="008D097E"/>
    <w:pPr>
      <w:spacing w:before="240" w:after="120"/>
    </w:pPr>
    <w:rPr>
      <w:rFonts w:ascii="Arial Unicode MS" w:eastAsia="Cambria" w:hAnsi="Arial Unicode MS" w:cs="Times New Roman"/>
      <w:b/>
      <w:color w:val="00005C"/>
      <w:sz w:val="22"/>
    </w:rPr>
  </w:style>
  <w:style w:type="paragraph" w:customStyle="1" w:styleId="SessionTopic">
    <w:name w:val="SessionTopic"/>
    <w:basedOn w:val="Normal"/>
    <w:autoRedefine/>
    <w:qFormat/>
    <w:rsid w:val="008D097E"/>
    <w:pPr>
      <w:spacing w:before="120" w:after="120"/>
      <w:ind w:left="176"/>
    </w:pPr>
    <w:rPr>
      <w:rFonts w:ascii="Arial Unicode MS" w:eastAsia="Cambria" w:hAnsi="Arial Unicode MS" w:cs="Calibri"/>
      <w:b/>
      <w:color w:val="0000D0"/>
      <w:sz w:val="20"/>
      <w:szCs w:val="22"/>
    </w:rPr>
  </w:style>
  <w:style w:type="paragraph" w:customStyle="1" w:styleId="Topic">
    <w:name w:val="Topic"/>
    <w:basedOn w:val="Normal"/>
    <w:autoRedefine/>
    <w:qFormat/>
    <w:rsid w:val="008D097E"/>
    <w:pPr>
      <w:spacing w:before="120" w:after="120"/>
      <w:jc w:val="center"/>
    </w:pPr>
    <w:rPr>
      <w:rFonts w:ascii="Arial Narrow" w:eastAsia="Cambria" w:hAnsi="Arial Narrow" w:cs="Arial"/>
      <w:b/>
      <w:color w:val="0000FF"/>
      <w:sz w:val="20"/>
    </w:rPr>
  </w:style>
  <w:style w:type="paragraph" w:customStyle="1" w:styleId="PIB1">
    <w:name w:val="PIB1"/>
    <w:basedOn w:val="ListParagraph"/>
    <w:autoRedefine/>
    <w:qFormat/>
    <w:rsid w:val="008D097E"/>
    <w:pPr>
      <w:widowControl w:val="0"/>
      <w:numPr>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Pr>
      <w:rFonts w:eastAsiaTheme="minorHAnsi" w:cs="Arial"/>
      <w:b/>
      <w:szCs w:val="28"/>
      <w:lang w:val="en-US"/>
    </w:rPr>
  </w:style>
  <w:style w:type="paragraph" w:customStyle="1" w:styleId="PIBPART">
    <w:name w:val="PIBPART"/>
    <w:basedOn w:val="ListParagraph"/>
    <w:autoRedefine/>
    <w:qFormat/>
    <w:rsid w:val="008D097E"/>
    <w:pPr>
      <w:widowControl w:val="0"/>
      <w:numPr>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pPr>
    <w:rPr>
      <w:rFonts w:eastAsiaTheme="minorHAnsi" w:cs="Arial"/>
      <w:b/>
      <w:sz w:val="32"/>
      <w:lang w:val="en-US"/>
    </w:rPr>
  </w:style>
  <w:style w:type="paragraph" w:customStyle="1" w:styleId="Heading0">
    <w:name w:val="Heading 0"/>
    <w:basedOn w:val="Heading1"/>
    <w:autoRedefine/>
    <w:qFormat/>
    <w:rsid w:val="008D097E"/>
    <w:pPr>
      <w:numPr>
        <w:numId w:val="0"/>
      </w:numPr>
      <w:spacing w:before="120" w:after="360"/>
      <w:jc w:val="left"/>
    </w:pPr>
    <w:rPr>
      <w:color w:val="0000FF"/>
    </w:rPr>
  </w:style>
  <w:style w:type="paragraph" w:customStyle="1" w:styleId="Title-Pre">
    <w:name w:val="Title-Pre"/>
    <w:basedOn w:val="Normal"/>
    <w:autoRedefine/>
    <w:qFormat/>
    <w:rsid w:val="008D097E"/>
    <w:pPr>
      <w:spacing w:after="480"/>
    </w:pPr>
    <w:rPr>
      <w:rFonts w:ascii="Helvetica Neue" w:eastAsiaTheme="minorHAnsi" w:hAnsi="Helvetica Neue"/>
      <w:b/>
      <w:color w:val="0000DA"/>
      <w:sz w:val="32"/>
    </w:rPr>
  </w:style>
  <w:style w:type="paragraph" w:customStyle="1" w:styleId="Header2">
    <w:name w:val="Header2"/>
    <w:basedOn w:val="Heading1"/>
    <w:link w:val="Header2Char"/>
    <w:autoRedefine/>
    <w:qFormat/>
    <w:rsid w:val="008D097E"/>
    <w:pPr>
      <w:keepNext w:val="0"/>
      <w:keepLines w:val="0"/>
      <w:numPr>
        <w:ilvl w:val="1"/>
        <w:numId w:val="4"/>
      </w:numPr>
      <w:spacing w:before="120" w:after="120"/>
      <w:ind w:left="0" w:firstLine="0"/>
      <w:jc w:val="left"/>
      <w:outlineLvl w:val="9"/>
    </w:pPr>
    <w:rPr>
      <w:color w:val="800000"/>
      <w:sz w:val="24"/>
    </w:rPr>
  </w:style>
  <w:style w:type="character" w:customStyle="1" w:styleId="Header2Char">
    <w:name w:val="Header2 Char"/>
    <w:basedOn w:val="Heading1Char"/>
    <w:link w:val="Header2"/>
    <w:rsid w:val="008D097E"/>
    <w:rPr>
      <w:rFonts w:ascii="Arial" w:eastAsiaTheme="majorEastAsia" w:hAnsi="Arial" w:cs="Arial"/>
      <w:bCs/>
      <w:color w:val="800000"/>
      <w:sz w:val="28"/>
      <w:szCs w:val="26"/>
      <w:lang w:val="en-GB"/>
    </w:rPr>
  </w:style>
  <w:style w:type="paragraph" w:customStyle="1" w:styleId="Header1">
    <w:name w:val="Header1"/>
    <w:basedOn w:val="Heading1"/>
    <w:autoRedefine/>
    <w:qFormat/>
    <w:rsid w:val="00496AED"/>
    <w:pPr>
      <w:numPr>
        <w:numId w:val="0"/>
      </w:numPr>
      <w:jc w:val="left"/>
    </w:pPr>
  </w:style>
  <w:style w:type="paragraph" w:customStyle="1" w:styleId="Header3">
    <w:name w:val="Header3"/>
    <w:basedOn w:val="Normal"/>
    <w:autoRedefine/>
    <w:qFormat/>
    <w:rsid w:val="008D097E"/>
    <w:pPr>
      <w:ind w:left="1134"/>
    </w:pPr>
    <w:rPr>
      <w:rFonts w:ascii="Helvetica Neue Bold Condensed" w:eastAsiaTheme="minorHAnsi" w:hAnsi="Helvetica Neue Bold Condensed"/>
      <w:color w:val="3366FF"/>
    </w:rPr>
  </w:style>
  <w:style w:type="paragraph" w:customStyle="1" w:styleId="Title-Post">
    <w:name w:val="Title-Post"/>
    <w:basedOn w:val="Normal"/>
    <w:autoRedefine/>
    <w:qFormat/>
    <w:rsid w:val="008D097E"/>
    <w:pPr>
      <w:spacing w:after="360"/>
    </w:pPr>
    <w:rPr>
      <w:rFonts w:ascii="Helvetica Neue" w:eastAsiaTheme="minorHAnsi" w:hAnsi="Helvetica Neue"/>
      <w:color w:val="31849B" w:themeColor="accent5" w:themeShade="BF"/>
      <w:sz w:val="28"/>
    </w:rPr>
  </w:style>
  <w:style w:type="paragraph" w:customStyle="1" w:styleId="Appendix">
    <w:name w:val="Appendix"/>
    <w:basedOn w:val="Normal"/>
    <w:autoRedefine/>
    <w:qFormat/>
    <w:rsid w:val="00907258"/>
    <w:pPr>
      <w:spacing w:before="120" w:after="120"/>
      <w:jc w:val="both"/>
    </w:pPr>
    <w:rPr>
      <w:rFonts w:ascii="Helvetica" w:eastAsiaTheme="minorHAnsi" w:hAnsi="Helvetica"/>
      <w:b/>
      <w:color w:val="000090"/>
    </w:rPr>
  </w:style>
  <w:style w:type="paragraph" w:customStyle="1" w:styleId="Title1">
    <w:name w:val="Title1"/>
    <w:basedOn w:val="STATUS-TITLE2"/>
    <w:autoRedefine/>
    <w:qFormat/>
    <w:rsid w:val="008D097E"/>
    <w:pPr>
      <w:numPr>
        <w:ilvl w:val="0"/>
        <w:numId w:val="0"/>
      </w:numPr>
    </w:pPr>
  </w:style>
  <w:style w:type="paragraph" w:customStyle="1" w:styleId="Title2">
    <w:name w:val="Title2"/>
    <w:basedOn w:val="STATUS-TITLE2"/>
    <w:autoRedefine/>
    <w:qFormat/>
    <w:rsid w:val="008D097E"/>
    <w:pPr>
      <w:numPr>
        <w:ilvl w:val="0"/>
        <w:numId w:val="0"/>
      </w:numPr>
    </w:pPr>
    <w:rPr>
      <w:color w:val="800000"/>
      <w:sz w:val="24"/>
    </w:rPr>
  </w:style>
  <w:style w:type="paragraph" w:customStyle="1" w:styleId="1">
    <w:name w:val="1"/>
    <w:basedOn w:val="ListParagraph"/>
    <w:autoRedefine/>
    <w:qFormat/>
    <w:rsid w:val="008D097E"/>
    <w:pPr>
      <w:numPr>
        <w:numId w:val="6"/>
      </w:numPr>
      <w:spacing w:after="240"/>
      <w:jc w:val="both"/>
    </w:pPr>
    <w:rPr>
      <w:rFonts w:ascii="Helvetica Neue" w:eastAsiaTheme="minorHAnsi" w:hAnsi="Helvetica Neue"/>
      <w:color w:val="000090"/>
    </w:rPr>
  </w:style>
  <w:style w:type="paragraph" w:customStyle="1" w:styleId="Constituent">
    <w:name w:val="Constituent"/>
    <w:basedOn w:val="Normal"/>
    <w:autoRedefine/>
    <w:qFormat/>
    <w:rsid w:val="008D097E"/>
    <w:pPr>
      <w:spacing w:before="120" w:after="120"/>
      <w:jc w:val="both"/>
    </w:pPr>
    <w:rPr>
      <w:rFonts w:ascii="Helvetica Neue" w:hAnsi="Helvetica Neue" w:cs="Arial"/>
      <w:color w:val="000090"/>
    </w:rPr>
  </w:style>
  <w:style w:type="paragraph" w:styleId="TOC1">
    <w:name w:val="toc 1"/>
    <w:basedOn w:val="Normal"/>
    <w:next w:val="Normal"/>
    <w:autoRedefine/>
    <w:uiPriority w:val="39"/>
    <w:rsid w:val="00334263"/>
    <w:pPr>
      <w:spacing w:before="120"/>
    </w:pPr>
    <w:rPr>
      <w:rFonts w:asciiTheme="majorHAnsi" w:hAnsiTheme="majorHAnsi"/>
      <w:b/>
      <w:color w:val="548DD4"/>
    </w:rPr>
  </w:style>
  <w:style w:type="paragraph" w:customStyle="1" w:styleId="AppendixHeading0">
    <w:name w:val="AppendixHeading"/>
    <w:basedOn w:val="Normal"/>
    <w:autoRedefine/>
    <w:qFormat/>
    <w:rsid w:val="00842990"/>
    <w:pPr>
      <w:spacing w:before="120" w:after="240"/>
      <w:jc w:val="both"/>
    </w:pPr>
    <w:rPr>
      <w:rFonts w:ascii="Helvetica" w:hAnsi="Helvetica" w:cs="Times New Roman"/>
      <w:b/>
      <w:color w:val="000090"/>
      <w:sz w:val="28"/>
      <w:szCs w:val="20"/>
    </w:rPr>
  </w:style>
  <w:style w:type="paragraph" w:styleId="TOC2">
    <w:name w:val="toc 2"/>
    <w:basedOn w:val="Normal"/>
    <w:next w:val="Normal"/>
    <w:autoRedefine/>
    <w:uiPriority w:val="39"/>
    <w:rsid w:val="00F16E98"/>
    <w:rPr>
      <w:sz w:val="22"/>
      <w:szCs w:val="22"/>
    </w:rPr>
  </w:style>
  <w:style w:type="paragraph" w:styleId="TOC3">
    <w:name w:val="toc 3"/>
    <w:basedOn w:val="Normal"/>
    <w:next w:val="Normal"/>
    <w:autoRedefine/>
    <w:uiPriority w:val="39"/>
    <w:rsid w:val="009130A7"/>
    <w:pPr>
      <w:tabs>
        <w:tab w:val="left" w:pos="1275"/>
        <w:tab w:val="right" w:leader="dot" w:pos="9054"/>
      </w:tabs>
      <w:ind w:left="240"/>
    </w:pPr>
    <w:rPr>
      <w:i/>
      <w:sz w:val="22"/>
      <w:szCs w:val="22"/>
    </w:rPr>
  </w:style>
  <w:style w:type="paragraph" w:styleId="TOC4">
    <w:name w:val="toc 4"/>
    <w:basedOn w:val="Normal"/>
    <w:next w:val="Normal"/>
    <w:autoRedefine/>
    <w:uiPriority w:val="39"/>
    <w:rsid w:val="00F16E98"/>
    <w:pPr>
      <w:pBdr>
        <w:between w:val="double" w:sz="6" w:space="0" w:color="auto"/>
      </w:pBdr>
      <w:ind w:left="480"/>
    </w:pPr>
    <w:rPr>
      <w:sz w:val="20"/>
      <w:szCs w:val="20"/>
    </w:rPr>
  </w:style>
  <w:style w:type="paragraph" w:styleId="TOC5">
    <w:name w:val="toc 5"/>
    <w:basedOn w:val="Normal"/>
    <w:next w:val="Normal"/>
    <w:autoRedefine/>
    <w:uiPriority w:val="39"/>
    <w:rsid w:val="00F16E98"/>
    <w:pPr>
      <w:pBdr>
        <w:between w:val="double" w:sz="6" w:space="0" w:color="auto"/>
      </w:pBdr>
      <w:ind w:left="720"/>
    </w:pPr>
    <w:rPr>
      <w:sz w:val="20"/>
      <w:szCs w:val="20"/>
    </w:rPr>
  </w:style>
  <w:style w:type="paragraph" w:styleId="TOC6">
    <w:name w:val="toc 6"/>
    <w:basedOn w:val="Normal"/>
    <w:next w:val="Normal"/>
    <w:autoRedefine/>
    <w:uiPriority w:val="39"/>
    <w:rsid w:val="00F16E98"/>
    <w:pPr>
      <w:pBdr>
        <w:between w:val="double" w:sz="6" w:space="0" w:color="auto"/>
      </w:pBdr>
      <w:ind w:left="960"/>
    </w:pPr>
    <w:rPr>
      <w:sz w:val="20"/>
      <w:szCs w:val="20"/>
    </w:rPr>
  </w:style>
  <w:style w:type="paragraph" w:styleId="TOC7">
    <w:name w:val="toc 7"/>
    <w:basedOn w:val="Normal"/>
    <w:next w:val="Normal"/>
    <w:autoRedefine/>
    <w:uiPriority w:val="39"/>
    <w:rsid w:val="00F16E98"/>
    <w:pPr>
      <w:pBdr>
        <w:between w:val="double" w:sz="6" w:space="0" w:color="auto"/>
      </w:pBdr>
      <w:ind w:left="1200"/>
    </w:pPr>
    <w:rPr>
      <w:sz w:val="20"/>
      <w:szCs w:val="20"/>
    </w:rPr>
  </w:style>
  <w:style w:type="paragraph" w:styleId="TOC8">
    <w:name w:val="toc 8"/>
    <w:basedOn w:val="Normal"/>
    <w:next w:val="Normal"/>
    <w:autoRedefine/>
    <w:uiPriority w:val="39"/>
    <w:rsid w:val="00F16E98"/>
    <w:pPr>
      <w:pBdr>
        <w:between w:val="double" w:sz="6" w:space="0" w:color="auto"/>
      </w:pBdr>
      <w:ind w:left="1440"/>
    </w:pPr>
    <w:rPr>
      <w:sz w:val="20"/>
      <w:szCs w:val="20"/>
    </w:rPr>
  </w:style>
  <w:style w:type="paragraph" w:styleId="TOC9">
    <w:name w:val="toc 9"/>
    <w:basedOn w:val="Normal"/>
    <w:next w:val="Normal"/>
    <w:autoRedefine/>
    <w:uiPriority w:val="39"/>
    <w:rsid w:val="00F16E98"/>
    <w:pPr>
      <w:pBdr>
        <w:between w:val="double" w:sz="6" w:space="0" w:color="auto"/>
      </w:pBdr>
      <w:ind w:left="1680"/>
    </w:pPr>
    <w:rPr>
      <w:sz w:val="20"/>
      <w:szCs w:val="20"/>
    </w:rPr>
  </w:style>
  <w:style w:type="paragraph" w:customStyle="1" w:styleId="Summary">
    <w:name w:val="Summary"/>
    <w:basedOn w:val="Normal"/>
    <w:autoRedefine/>
    <w:qFormat/>
    <w:rsid w:val="00F26E46"/>
    <w:pPr>
      <w:widowControl w:val="0"/>
      <w:autoSpaceDE w:val="0"/>
      <w:autoSpaceDN w:val="0"/>
      <w:adjustRightInd w:val="0"/>
      <w:jc w:val="both"/>
    </w:pPr>
    <w:rPr>
      <w:rFonts w:cs="Arial"/>
      <w:color w:val="31849B" w:themeColor="accent5" w:themeShade="BF"/>
    </w:rPr>
  </w:style>
  <w:style w:type="numbering" w:customStyle="1" w:styleId="NoList1">
    <w:name w:val="No List1"/>
    <w:next w:val="NoList"/>
    <w:semiHidden/>
    <w:unhideWhenUsed/>
    <w:rsid w:val="00491FBD"/>
  </w:style>
  <w:style w:type="character" w:styleId="FollowedHyperlink">
    <w:name w:val="FollowedHyperlink"/>
    <w:basedOn w:val="DefaultParagraphFont"/>
    <w:uiPriority w:val="99"/>
    <w:rsid w:val="00491FBD"/>
    <w:rPr>
      <w:color w:val="993366"/>
      <w:u w:val="single"/>
    </w:rPr>
  </w:style>
  <w:style w:type="paragraph" w:customStyle="1" w:styleId="font5">
    <w:name w:val="font5"/>
    <w:basedOn w:val="Normal"/>
    <w:rsid w:val="00491FBD"/>
    <w:pPr>
      <w:spacing w:beforeLines="1" w:afterLines="1"/>
    </w:pPr>
    <w:rPr>
      <w:rFonts w:ascii="Verdana" w:hAnsi="Verdana"/>
      <w:sz w:val="16"/>
      <w:szCs w:val="16"/>
      <w:lang w:val="en-US"/>
    </w:rPr>
  </w:style>
  <w:style w:type="paragraph" w:customStyle="1" w:styleId="xl24">
    <w:name w:val="xl24"/>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5">
    <w:name w:val="xl25"/>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textAlignment w:val="top"/>
    </w:pPr>
    <w:rPr>
      <w:rFonts w:ascii="Helvetica" w:hAnsi="Helvetica"/>
      <w:color w:val="000090"/>
      <w:lang w:val="en-US"/>
    </w:rPr>
  </w:style>
  <w:style w:type="paragraph" w:customStyle="1" w:styleId="xl26">
    <w:name w:val="xl26"/>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7">
    <w:name w:val="xl27"/>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color w:val="000090"/>
      <w:lang w:val="en-US"/>
    </w:rPr>
  </w:style>
  <w:style w:type="paragraph" w:customStyle="1" w:styleId="xl28">
    <w:name w:val="xl28"/>
    <w:basedOn w:val="Normal"/>
    <w:rsid w:val="00491FBD"/>
    <w:pPr>
      <w:pBdr>
        <w:top w:val="single" w:sz="4" w:space="0" w:color="3366FF"/>
        <w:left w:val="single" w:sz="4" w:space="0" w:color="3366FF"/>
        <w:bottom w:val="single" w:sz="4" w:space="0" w:color="3366FF"/>
        <w:right w:val="single" w:sz="4" w:space="0" w:color="3366FF"/>
      </w:pBdr>
      <w:spacing w:beforeLines="1" w:afterLines="1"/>
      <w:jc w:val="both"/>
      <w:textAlignment w:val="top"/>
    </w:pPr>
    <w:rPr>
      <w:rFonts w:ascii="Helvetica" w:hAnsi="Helvetica"/>
      <w:color w:val="000090"/>
      <w:lang w:val="en-US"/>
    </w:rPr>
  </w:style>
  <w:style w:type="paragraph" w:customStyle="1" w:styleId="xl29">
    <w:name w:val="xl29"/>
    <w:basedOn w:val="Normal"/>
    <w:rsid w:val="00491FBD"/>
    <w:pPr>
      <w:pBdr>
        <w:top w:val="single" w:sz="4" w:space="0" w:color="3366FF"/>
        <w:left w:val="single" w:sz="4" w:space="0" w:color="3366FF"/>
        <w:bottom w:val="single" w:sz="4" w:space="0" w:color="3366FF"/>
        <w:right w:val="single" w:sz="4" w:space="0" w:color="3366FF"/>
      </w:pBdr>
      <w:spacing w:beforeLines="1" w:afterLines="1"/>
      <w:jc w:val="right"/>
      <w:textAlignment w:val="top"/>
    </w:pPr>
    <w:rPr>
      <w:rFonts w:ascii="Helvetica" w:hAnsi="Helvetica"/>
      <w:color w:val="000090"/>
      <w:lang w:val="en-US"/>
    </w:rPr>
  </w:style>
  <w:style w:type="paragraph" w:customStyle="1" w:styleId="xl30">
    <w:name w:val="xl30"/>
    <w:basedOn w:val="Normal"/>
    <w:rsid w:val="00491FBD"/>
    <w:pPr>
      <w:pBdr>
        <w:top w:val="single" w:sz="4" w:space="0" w:color="3366FF"/>
        <w:left w:val="single" w:sz="4" w:space="0" w:color="3366FF"/>
        <w:bottom w:val="single" w:sz="4" w:space="0" w:color="3366FF"/>
        <w:right w:val="single" w:sz="4" w:space="0" w:color="3366FF"/>
      </w:pBdr>
      <w:spacing w:beforeLines="1" w:afterLines="1"/>
      <w:jc w:val="right"/>
      <w:textAlignment w:val="top"/>
    </w:pPr>
    <w:rPr>
      <w:rFonts w:ascii="Helvetica" w:hAnsi="Helvetica"/>
      <w:color w:val="000090"/>
      <w:lang w:val="en-US"/>
    </w:rPr>
  </w:style>
  <w:style w:type="paragraph" w:customStyle="1" w:styleId="xl31">
    <w:name w:val="xl31"/>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xl32">
    <w:name w:val="xl32"/>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textAlignment w:val="top"/>
    </w:pPr>
    <w:rPr>
      <w:rFonts w:ascii="Helvetica" w:hAnsi="Helvetica"/>
      <w:b/>
      <w:bCs/>
      <w:color w:val="000090"/>
      <w:lang w:val="en-US"/>
    </w:rPr>
  </w:style>
  <w:style w:type="paragraph" w:customStyle="1" w:styleId="xl33">
    <w:name w:val="xl33"/>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xl34">
    <w:name w:val="xl34"/>
    <w:basedOn w:val="Normal"/>
    <w:rsid w:val="00491FBD"/>
    <w:pPr>
      <w:pBdr>
        <w:top w:val="single" w:sz="4" w:space="0" w:color="3366FF"/>
        <w:left w:val="single" w:sz="4" w:space="0" w:color="3366FF"/>
        <w:bottom w:val="single" w:sz="4" w:space="0" w:color="3366FF"/>
        <w:right w:val="single" w:sz="4" w:space="0" w:color="3366FF"/>
      </w:pBdr>
      <w:shd w:val="clear" w:color="auto" w:fill="FFFFFF"/>
      <w:spacing w:beforeLines="1" w:afterLines="1"/>
      <w:jc w:val="right"/>
      <w:textAlignment w:val="top"/>
    </w:pPr>
    <w:rPr>
      <w:rFonts w:ascii="Helvetica" w:hAnsi="Helvetica"/>
      <w:b/>
      <w:bCs/>
      <w:color w:val="000090"/>
      <w:lang w:val="en-US"/>
    </w:rPr>
  </w:style>
  <w:style w:type="paragraph" w:customStyle="1" w:styleId="Highlight">
    <w:name w:val="Highlight"/>
    <w:basedOn w:val="Normal"/>
    <w:autoRedefine/>
    <w:qFormat/>
    <w:rsid w:val="00E53EA1"/>
    <w:pPr>
      <w:tabs>
        <w:tab w:val="left" w:pos="175"/>
      </w:tabs>
      <w:jc w:val="both"/>
    </w:pPr>
    <w:rPr>
      <w:rFonts w:eastAsia="Times New Roman" w:cs="Arial"/>
      <w:lang w:eastAsia="ja-JP" w:bidi="en-US"/>
    </w:rPr>
  </w:style>
  <w:style w:type="paragraph" w:customStyle="1" w:styleId="Paragraph">
    <w:name w:val="Paragraph"/>
    <w:basedOn w:val="Normal"/>
    <w:next w:val="Normal"/>
    <w:rsid w:val="006729DC"/>
    <w:pPr>
      <w:spacing w:after="240"/>
      <w:jc w:val="both"/>
    </w:pPr>
    <w:rPr>
      <w:rFonts w:eastAsia="Times New Roman" w:cs="Times New Roman"/>
      <w:szCs w:val="20"/>
    </w:rPr>
  </w:style>
  <w:style w:type="paragraph" w:styleId="ListBullet">
    <w:name w:val="List Bullet"/>
    <w:basedOn w:val="Normal"/>
    <w:autoRedefine/>
    <w:rsid w:val="006729DC"/>
    <w:pPr>
      <w:spacing w:after="120"/>
      <w:ind w:left="1080"/>
      <w:jc w:val="both"/>
    </w:pPr>
    <w:rPr>
      <w:rFonts w:eastAsia="Times New Roman" w:cs="Arial"/>
      <w:sz w:val="20"/>
      <w:szCs w:val="20"/>
    </w:rPr>
  </w:style>
  <w:style w:type="paragraph" w:styleId="ListBullet2">
    <w:name w:val="List Bullet 2"/>
    <w:basedOn w:val="Normal"/>
    <w:uiPriority w:val="99"/>
    <w:unhideWhenUsed/>
    <w:rsid w:val="006729DC"/>
    <w:pPr>
      <w:numPr>
        <w:numId w:val="7"/>
      </w:numPr>
      <w:contextualSpacing/>
    </w:pPr>
    <w:rPr>
      <w:lang w:val="en-US"/>
    </w:rPr>
  </w:style>
  <w:style w:type="paragraph" w:styleId="DocumentMap">
    <w:name w:val="Document Map"/>
    <w:basedOn w:val="Normal"/>
    <w:link w:val="DocumentMapChar"/>
    <w:rsid w:val="00D02C98"/>
    <w:rPr>
      <w:rFonts w:ascii="Lucida Grande" w:hAnsi="Lucida Grande" w:cs="Lucida Grande"/>
    </w:rPr>
  </w:style>
  <w:style w:type="character" w:customStyle="1" w:styleId="DocumentMapChar">
    <w:name w:val="Document Map Char"/>
    <w:basedOn w:val="DefaultParagraphFont"/>
    <w:link w:val="DocumentMap"/>
    <w:rsid w:val="00D02C98"/>
    <w:rPr>
      <w:rFonts w:ascii="Lucida Grande" w:hAnsi="Lucida Grande" w:cs="Lucida Grande"/>
      <w:lang w:val="en-GB"/>
    </w:rPr>
  </w:style>
  <w:style w:type="paragraph" w:customStyle="1" w:styleId="PolicyBrief1">
    <w:name w:val="PolicyBrief1"/>
    <w:basedOn w:val="Title1"/>
    <w:autoRedefine/>
    <w:qFormat/>
    <w:rsid w:val="00C2738B"/>
    <w:pPr>
      <w:shd w:val="clear" w:color="auto" w:fill="auto"/>
      <w:spacing w:before="0" w:after="0"/>
      <w:jc w:val="both"/>
    </w:pPr>
    <w:rPr>
      <w:rFonts w:ascii="Arial" w:eastAsia="Times New Roman" w:hAnsi="Arial" w:cs="Arial"/>
      <w:b w:val="0"/>
      <w:noProof/>
      <w:sz w:val="24"/>
    </w:rPr>
  </w:style>
  <w:style w:type="table" w:styleId="MediumGrid1-Accent1">
    <w:name w:val="Medium Grid 1 Accent 1"/>
    <w:basedOn w:val="TableNormal"/>
    <w:uiPriority w:val="67"/>
    <w:rsid w:val="0056305A"/>
    <w:rPr>
      <w:rFonts w:eastAsiaTheme="minorHAns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Professional">
    <w:name w:val="Table Professional"/>
    <w:basedOn w:val="TableNormal"/>
    <w:rsid w:val="0071113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List2">
    <w:name w:val="Table List 2"/>
    <w:basedOn w:val="TableNormal"/>
    <w:rsid w:val="0071113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MediumShading1">
    <w:name w:val="Medium Shading 1"/>
    <w:basedOn w:val="TableNormal"/>
    <w:rsid w:val="002F476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2F476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6">
    <w:name w:val="Table Grid 6"/>
    <w:basedOn w:val="TableNormal"/>
    <w:rsid w:val="002F476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2F476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LightList-Accent1">
    <w:name w:val="Light List Accent 1"/>
    <w:basedOn w:val="TableNormal"/>
    <w:uiPriority w:val="61"/>
    <w:rsid w:val="001053BC"/>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licyBrief2">
    <w:name w:val="PolicyBrief2"/>
    <w:basedOn w:val="Normal"/>
    <w:autoRedefine/>
    <w:qFormat/>
    <w:rsid w:val="007C7480"/>
    <w:pPr>
      <w:spacing w:after="120"/>
      <w:jc w:val="both"/>
    </w:pPr>
    <w:rPr>
      <w:rFonts w:eastAsia="Times New Roman" w:cs="Arial"/>
      <w:color w:val="31849B" w:themeColor="accent5" w:themeShade="BF"/>
    </w:rPr>
  </w:style>
  <w:style w:type="paragraph" w:styleId="BodyText2">
    <w:name w:val="Body Text 2"/>
    <w:basedOn w:val="Normal"/>
    <w:link w:val="BodyText2Char"/>
    <w:semiHidden/>
    <w:unhideWhenUsed/>
    <w:rsid w:val="008C05DD"/>
    <w:pPr>
      <w:spacing w:after="120" w:line="480" w:lineRule="auto"/>
    </w:pPr>
  </w:style>
  <w:style w:type="character" w:customStyle="1" w:styleId="BodyText2Char">
    <w:name w:val="Body Text 2 Char"/>
    <w:basedOn w:val="DefaultParagraphFont"/>
    <w:link w:val="BodyText2"/>
    <w:semiHidden/>
    <w:rsid w:val="008C05DD"/>
    <w:rPr>
      <w:rFonts w:ascii="Arial" w:hAnsi="Arial"/>
      <w:lang w:val="en-GB"/>
    </w:rPr>
  </w:style>
  <w:style w:type="paragraph" w:styleId="BodyText3">
    <w:name w:val="Body Text 3"/>
    <w:basedOn w:val="Normal"/>
    <w:link w:val="BodyText3Char"/>
    <w:semiHidden/>
    <w:rsid w:val="008C05DD"/>
    <w:pPr>
      <w:jc w:val="center"/>
    </w:pPr>
    <w:rPr>
      <w:rFonts w:ascii="Times New Roman" w:eastAsia="Times New Roman" w:hAnsi="Times New Roman" w:cs="Times New Roman"/>
      <w:b/>
      <w:bCs/>
      <w:sz w:val="28"/>
    </w:rPr>
  </w:style>
  <w:style w:type="character" w:customStyle="1" w:styleId="BodyText3Char">
    <w:name w:val="Body Text 3 Char"/>
    <w:basedOn w:val="DefaultParagraphFont"/>
    <w:link w:val="BodyText3"/>
    <w:semiHidden/>
    <w:rsid w:val="008C05DD"/>
    <w:rPr>
      <w:rFonts w:ascii="Times New Roman" w:eastAsia="Times New Roman" w:hAnsi="Times New Roman" w:cs="Times New Roman"/>
      <w:b/>
      <w:bCs/>
      <w:sz w:val="28"/>
      <w:lang w:val="en-GB"/>
    </w:rPr>
  </w:style>
  <w:style w:type="paragraph" w:styleId="BodyTextIndent">
    <w:name w:val="Body Text Indent"/>
    <w:basedOn w:val="Normal"/>
    <w:link w:val="BodyTextIndentChar"/>
    <w:semiHidden/>
    <w:rsid w:val="008C05DD"/>
    <w:pPr>
      <w:ind w:firstLine="720"/>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8C05DD"/>
    <w:rPr>
      <w:rFonts w:ascii="Times New Roman" w:eastAsia="Times New Roman" w:hAnsi="Times New Roman" w:cs="Times New Roman"/>
      <w:sz w:val="20"/>
      <w:szCs w:val="20"/>
    </w:rPr>
  </w:style>
  <w:style w:type="paragraph" w:styleId="PlainText">
    <w:name w:val="Plain Text"/>
    <w:basedOn w:val="Normal"/>
    <w:link w:val="PlainTextChar"/>
    <w:semiHidden/>
    <w:rsid w:val="008C05DD"/>
    <w:pPr>
      <w:jc w:val="both"/>
    </w:pPr>
    <w:rPr>
      <w:rFonts w:ascii="Gill Sans MT" w:eastAsia="Times New Roman" w:hAnsi="Gill Sans MT" w:cs="Times New Roman"/>
      <w:sz w:val="20"/>
      <w:szCs w:val="20"/>
      <w:lang w:val="en-US"/>
    </w:rPr>
  </w:style>
  <w:style w:type="character" w:customStyle="1" w:styleId="PlainTextChar">
    <w:name w:val="Plain Text Char"/>
    <w:basedOn w:val="DefaultParagraphFont"/>
    <w:link w:val="PlainText"/>
    <w:semiHidden/>
    <w:rsid w:val="008C05DD"/>
    <w:rPr>
      <w:rFonts w:ascii="Gill Sans MT" w:eastAsia="Times New Roman" w:hAnsi="Gill Sans MT" w:cs="Times New Roman"/>
      <w:sz w:val="20"/>
      <w:szCs w:val="20"/>
    </w:rPr>
  </w:style>
  <w:style w:type="character" w:styleId="Strong">
    <w:name w:val="Strong"/>
    <w:basedOn w:val="DefaultParagraphFont"/>
    <w:qFormat/>
    <w:rsid w:val="008C05DD"/>
    <w:rPr>
      <w:b/>
      <w:bCs/>
    </w:rPr>
  </w:style>
  <w:style w:type="paragraph" w:customStyle="1" w:styleId="Default">
    <w:name w:val="Default"/>
    <w:rsid w:val="008C05DD"/>
    <w:pPr>
      <w:autoSpaceDE w:val="0"/>
      <w:autoSpaceDN w:val="0"/>
      <w:adjustRightInd w:val="0"/>
    </w:pPr>
    <w:rPr>
      <w:rFonts w:ascii="Symbol" w:eastAsia="Times New Roman" w:hAnsi="Symbol" w:cs="Times New Roman"/>
      <w:color w:val="000000"/>
    </w:rPr>
  </w:style>
  <w:style w:type="paragraph" w:styleId="BodyTextIndent2">
    <w:name w:val="Body Text Indent 2"/>
    <w:basedOn w:val="Normal"/>
    <w:link w:val="BodyTextIndent2Char"/>
    <w:semiHidden/>
    <w:rsid w:val="008C05DD"/>
    <w:pPr>
      <w:spacing w:line="360" w:lineRule="auto"/>
      <w:ind w:firstLine="720"/>
      <w:jc w:val="both"/>
    </w:pPr>
    <w:rPr>
      <w:rFonts w:eastAsia="Times New Roman" w:cs="Times New Roman"/>
      <w:szCs w:val="20"/>
    </w:rPr>
  </w:style>
  <w:style w:type="character" w:customStyle="1" w:styleId="BodyTextIndent2Char">
    <w:name w:val="Body Text Indent 2 Char"/>
    <w:basedOn w:val="DefaultParagraphFont"/>
    <w:link w:val="BodyTextIndent2"/>
    <w:semiHidden/>
    <w:rsid w:val="008C05DD"/>
    <w:rPr>
      <w:rFonts w:ascii="Arial" w:eastAsia="Times New Roman" w:hAnsi="Arial" w:cs="Times New Roman"/>
      <w:szCs w:val="20"/>
      <w:lang w:val="en-GB"/>
    </w:rPr>
  </w:style>
  <w:style w:type="paragraph" w:styleId="BlockText">
    <w:name w:val="Block Text"/>
    <w:basedOn w:val="Normal"/>
    <w:rsid w:val="008C05DD"/>
    <w:pPr>
      <w:ind w:left="2160" w:right="2160"/>
      <w:jc w:val="both"/>
    </w:pPr>
    <w:rPr>
      <w:rFonts w:ascii="Times New Roman" w:eastAsia="Times New Roman" w:hAnsi="Times New Roman" w:cs="Times New Roman"/>
      <w:snapToGrid w:val="0"/>
      <w:sz w:val="20"/>
      <w:szCs w:val="20"/>
      <w:lang w:val="en-US"/>
    </w:rPr>
  </w:style>
  <w:style w:type="character" w:styleId="PageNumber">
    <w:name w:val="page number"/>
    <w:basedOn w:val="DefaultParagraphFont"/>
    <w:semiHidden/>
    <w:rsid w:val="008C05DD"/>
  </w:style>
  <w:style w:type="paragraph" w:styleId="Title">
    <w:name w:val="Title"/>
    <w:basedOn w:val="Normal"/>
    <w:link w:val="TitleChar"/>
    <w:qFormat/>
    <w:rsid w:val="008C05DD"/>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8C05DD"/>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8C05DD"/>
    <w:rPr>
      <w:i/>
      <w:iCs/>
    </w:rPr>
  </w:style>
  <w:style w:type="table" w:styleId="LightShading-Accent2">
    <w:name w:val="Light Shading Accent 2"/>
    <w:basedOn w:val="TableNormal"/>
    <w:uiPriority w:val="60"/>
    <w:rsid w:val="008C05DD"/>
    <w:rPr>
      <w:rFonts w:ascii="Times New Roman" w:eastAsia="Times New Roman" w:hAnsi="Times New Roman" w:cs="Times New Roman"/>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rsid w:val="004E77C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5">
    <w:name w:val="Medium Shading 1 Accent 5"/>
    <w:basedOn w:val="TableNormal"/>
    <w:rsid w:val="008B6EE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rsid w:val="00BD1CC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Revision">
    <w:name w:val="Revision"/>
    <w:hidden/>
    <w:semiHidden/>
    <w:rsid w:val="00856B4F"/>
    <w:rPr>
      <w:rFonts w:ascii="Arial" w:hAnsi="Arial"/>
      <w:lang w:val="en-GB"/>
    </w:rPr>
  </w:style>
  <w:style w:type="table" w:styleId="LightGrid-Accent5">
    <w:name w:val="Light Grid Accent 5"/>
    <w:basedOn w:val="TableNormal"/>
    <w:rsid w:val="00AF1D8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rsid w:val="00BD054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rsid w:val="00BD054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BD054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72">
      <w:bodyDiv w:val="1"/>
      <w:marLeft w:val="0"/>
      <w:marRight w:val="0"/>
      <w:marTop w:val="0"/>
      <w:marBottom w:val="0"/>
      <w:divBdr>
        <w:top w:val="none" w:sz="0" w:space="0" w:color="auto"/>
        <w:left w:val="none" w:sz="0" w:space="0" w:color="auto"/>
        <w:bottom w:val="none" w:sz="0" w:space="0" w:color="auto"/>
        <w:right w:val="none" w:sz="0" w:space="0" w:color="auto"/>
      </w:divBdr>
      <w:divsChild>
        <w:div w:id="1012410878">
          <w:marLeft w:val="0"/>
          <w:marRight w:val="0"/>
          <w:marTop w:val="0"/>
          <w:marBottom w:val="0"/>
          <w:divBdr>
            <w:top w:val="none" w:sz="0" w:space="0" w:color="auto"/>
            <w:left w:val="none" w:sz="0" w:space="0" w:color="auto"/>
            <w:bottom w:val="none" w:sz="0" w:space="0" w:color="auto"/>
            <w:right w:val="none" w:sz="0" w:space="0" w:color="auto"/>
          </w:divBdr>
        </w:div>
      </w:divsChild>
    </w:div>
    <w:div w:id="190652497">
      <w:bodyDiv w:val="1"/>
      <w:marLeft w:val="0"/>
      <w:marRight w:val="0"/>
      <w:marTop w:val="0"/>
      <w:marBottom w:val="0"/>
      <w:divBdr>
        <w:top w:val="none" w:sz="0" w:space="0" w:color="auto"/>
        <w:left w:val="none" w:sz="0" w:space="0" w:color="auto"/>
        <w:bottom w:val="none" w:sz="0" w:space="0" w:color="auto"/>
        <w:right w:val="none" w:sz="0" w:space="0" w:color="auto"/>
      </w:divBdr>
    </w:div>
    <w:div w:id="227230064">
      <w:bodyDiv w:val="1"/>
      <w:marLeft w:val="0"/>
      <w:marRight w:val="0"/>
      <w:marTop w:val="0"/>
      <w:marBottom w:val="0"/>
      <w:divBdr>
        <w:top w:val="none" w:sz="0" w:space="0" w:color="auto"/>
        <w:left w:val="none" w:sz="0" w:space="0" w:color="auto"/>
        <w:bottom w:val="none" w:sz="0" w:space="0" w:color="auto"/>
        <w:right w:val="none" w:sz="0" w:space="0" w:color="auto"/>
      </w:divBdr>
    </w:div>
    <w:div w:id="295381698">
      <w:bodyDiv w:val="1"/>
      <w:marLeft w:val="0"/>
      <w:marRight w:val="0"/>
      <w:marTop w:val="0"/>
      <w:marBottom w:val="0"/>
      <w:divBdr>
        <w:top w:val="none" w:sz="0" w:space="0" w:color="auto"/>
        <w:left w:val="none" w:sz="0" w:space="0" w:color="auto"/>
        <w:bottom w:val="none" w:sz="0" w:space="0" w:color="auto"/>
        <w:right w:val="none" w:sz="0" w:space="0" w:color="auto"/>
      </w:divBdr>
    </w:div>
    <w:div w:id="297152669">
      <w:bodyDiv w:val="1"/>
      <w:marLeft w:val="0"/>
      <w:marRight w:val="0"/>
      <w:marTop w:val="0"/>
      <w:marBottom w:val="0"/>
      <w:divBdr>
        <w:top w:val="none" w:sz="0" w:space="0" w:color="auto"/>
        <w:left w:val="none" w:sz="0" w:space="0" w:color="auto"/>
        <w:bottom w:val="none" w:sz="0" w:space="0" w:color="auto"/>
        <w:right w:val="none" w:sz="0" w:space="0" w:color="auto"/>
      </w:divBdr>
    </w:div>
    <w:div w:id="549730615">
      <w:bodyDiv w:val="1"/>
      <w:marLeft w:val="0"/>
      <w:marRight w:val="0"/>
      <w:marTop w:val="0"/>
      <w:marBottom w:val="0"/>
      <w:divBdr>
        <w:top w:val="none" w:sz="0" w:space="0" w:color="auto"/>
        <w:left w:val="none" w:sz="0" w:space="0" w:color="auto"/>
        <w:bottom w:val="none" w:sz="0" w:space="0" w:color="auto"/>
        <w:right w:val="none" w:sz="0" w:space="0" w:color="auto"/>
      </w:divBdr>
    </w:div>
    <w:div w:id="752244290">
      <w:bodyDiv w:val="1"/>
      <w:marLeft w:val="0"/>
      <w:marRight w:val="0"/>
      <w:marTop w:val="0"/>
      <w:marBottom w:val="0"/>
      <w:divBdr>
        <w:top w:val="none" w:sz="0" w:space="0" w:color="auto"/>
        <w:left w:val="none" w:sz="0" w:space="0" w:color="auto"/>
        <w:bottom w:val="none" w:sz="0" w:space="0" w:color="auto"/>
        <w:right w:val="none" w:sz="0" w:space="0" w:color="auto"/>
      </w:divBdr>
    </w:div>
    <w:div w:id="754939218">
      <w:bodyDiv w:val="1"/>
      <w:marLeft w:val="0"/>
      <w:marRight w:val="0"/>
      <w:marTop w:val="0"/>
      <w:marBottom w:val="0"/>
      <w:divBdr>
        <w:top w:val="none" w:sz="0" w:space="0" w:color="auto"/>
        <w:left w:val="none" w:sz="0" w:space="0" w:color="auto"/>
        <w:bottom w:val="none" w:sz="0" w:space="0" w:color="auto"/>
        <w:right w:val="none" w:sz="0" w:space="0" w:color="auto"/>
      </w:divBdr>
    </w:div>
    <w:div w:id="976302830">
      <w:bodyDiv w:val="1"/>
      <w:marLeft w:val="0"/>
      <w:marRight w:val="0"/>
      <w:marTop w:val="0"/>
      <w:marBottom w:val="0"/>
      <w:divBdr>
        <w:top w:val="none" w:sz="0" w:space="0" w:color="auto"/>
        <w:left w:val="none" w:sz="0" w:space="0" w:color="auto"/>
        <w:bottom w:val="none" w:sz="0" w:space="0" w:color="auto"/>
        <w:right w:val="none" w:sz="0" w:space="0" w:color="auto"/>
      </w:divBdr>
    </w:div>
    <w:div w:id="1134560859">
      <w:bodyDiv w:val="1"/>
      <w:marLeft w:val="0"/>
      <w:marRight w:val="0"/>
      <w:marTop w:val="0"/>
      <w:marBottom w:val="0"/>
      <w:divBdr>
        <w:top w:val="none" w:sz="0" w:space="0" w:color="auto"/>
        <w:left w:val="none" w:sz="0" w:space="0" w:color="auto"/>
        <w:bottom w:val="none" w:sz="0" w:space="0" w:color="auto"/>
        <w:right w:val="none" w:sz="0" w:space="0" w:color="auto"/>
      </w:divBdr>
    </w:div>
    <w:div w:id="1172988486">
      <w:bodyDiv w:val="1"/>
      <w:marLeft w:val="0"/>
      <w:marRight w:val="0"/>
      <w:marTop w:val="0"/>
      <w:marBottom w:val="0"/>
      <w:divBdr>
        <w:top w:val="none" w:sz="0" w:space="0" w:color="auto"/>
        <w:left w:val="none" w:sz="0" w:space="0" w:color="auto"/>
        <w:bottom w:val="none" w:sz="0" w:space="0" w:color="auto"/>
        <w:right w:val="none" w:sz="0" w:space="0" w:color="auto"/>
      </w:divBdr>
    </w:div>
    <w:div w:id="1292442591">
      <w:bodyDiv w:val="1"/>
      <w:marLeft w:val="0"/>
      <w:marRight w:val="0"/>
      <w:marTop w:val="0"/>
      <w:marBottom w:val="0"/>
      <w:divBdr>
        <w:top w:val="none" w:sz="0" w:space="0" w:color="auto"/>
        <w:left w:val="none" w:sz="0" w:space="0" w:color="auto"/>
        <w:bottom w:val="none" w:sz="0" w:space="0" w:color="auto"/>
        <w:right w:val="none" w:sz="0" w:space="0" w:color="auto"/>
      </w:divBdr>
    </w:div>
    <w:div w:id="1436555887">
      <w:bodyDiv w:val="1"/>
      <w:marLeft w:val="0"/>
      <w:marRight w:val="0"/>
      <w:marTop w:val="0"/>
      <w:marBottom w:val="0"/>
      <w:divBdr>
        <w:top w:val="none" w:sz="0" w:space="0" w:color="auto"/>
        <w:left w:val="none" w:sz="0" w:space="0" w:color="auto"/>
        <w:bottom w:val="none" w:sz="0" w:space="0" w:color="auto"/>
        <w:right w:val="none" w:sz="0" w:space="0" w:color="auto"/>
      </w:divBdr>
    </w:div>
    <w:div w:id="1510214649">
      <w:bodyDiv w:val="1"/>
      <w:marLeft w:val="0"/>
      <w:marRight w:val="0"/>
      <w:marTop w:val="0"/>
      <w:marBottom w:val="0"/>
      <w:divBdr>
        <w:top w:val="none" w:sz="0" w:space="0" w:color="auto"/>
        <w:left w:val="none" w:sz="0" w:space="0" w:color="auto"/>
        <w:bottom w:val="none" w:sz="0" w:space="0" w:color="auto"/>
        <w:right w:val="none" w:sz="0" w:space="0" w:color="auto"/>
      </w:divBdr>
    </w:div>
    <w:div w:id="1628929018">
      <w:bodyDiv w:val="1"/>
      <w:marLeft w:val="0"/>
      <w:marRight w:val="0"/>
      <w:marTop w:val="0"/>
      <w:marBottom w:val="0"/>
      <w:divBdr>
        <w:top w:val="none" w:sz="0" w:space="0" w:color="auto"/>
        <w:left w:val="none" w:sz="0" w:space="0" w:color="auto"/>
        <w:bottom w:val="none" w:sz="0" w:space="0" w:color="auto"/>
        <w:right w:val="none" w:sz="0" w:space="0" w:color="auto"/>
      </w:divBdr>
    </w:div>
    <w:div w:id="1825850070">
      <w:bodyDiv w:val="1"/>
      <w:marLeft w:val="0"/>
      <w:marRight w:val="0"/>
      <w:marTop w:val="0"/>
      <w:marBottom w:val="0"/>
      <w:divBdr>
        <w:top w:val="none" w:sz="0" w:space="0" w:color="auto"/>
        <w:left w:val="none" w:sz="0" w:space="0" w:color="auto"/>
        <w:bottom w:val="none" w:sz="0" w:space="0" w:color="auto"/>
        <w:right w:val="none" w:sz="0" w:space="0" w:color="auto"/>
      </w:divBdr>
    </w:div>
    <w:div w:id="1977292849">
      <w:bodyDiv w:val="1"/>
      <w:marLeft w:val="0"/>
      <w:marRight w:val="0"/>
      <w:marTop w:val="0"/>
      <w:marBottom w:val="0"/>
      <w:divBdr>
        <w:top w:val="none" w:sz="0" w:space="0" w:color="auto"/>
        <w:left w:val="none" w:sz="0" w:space="0" w:color="auto"/>
        <w:bottom w:val="none" w:sz="0" w:space="0" w:color="auto"/>
        <w:right w:val="none" w:sz="0" w:space="0" w:color="auto"/>
      </w:divBdr>
    </w:div>
    <w:div w:id="2000884816">
      <w:bodyDiv w:val="1"/>
      <w:marLeft w:val="0"/>
      <w:marRight w:val="0"/>
      <w:marTop w:val="0"/>
      <w:marBottom w:val="0"/>
      <w:divBdr>
        <w:top w:val="none" w:sz="0" w:space="0" w:color="auto"/>
        <w:left w:val="none" w:sz="0" w:space="0" w:color="auto"/>
        <w:bottom w:val="none" w:sz="0" w:space="0" w:color="auto"/>
        <w:right w:val="none" w:sz="0" w:space="0" w:color="auto"/>
      </w:divBdr>
    </w:div>
    <w:div w:id="2002922010">
      <w:bodyDiv w:val="1"/>
      <w:marLeft w:val="0"/>
      <w:marRight w:val="0"/>
      <w:marTop w:val="0"/>
      <w:marBottom w:val="0"/>
      <w:divBdr>
        <w:top w:val="none" w:sz="0" w:space="0" w:color="auto"/>
        <w:left w:val="none" w:sz="0" w:space="0" w:color="auto"/>
        <w:bottom w:val="none" w:sz="0" w:space="0" w:color="auto"/>
        <w:right w:val="none" w:sz="0" w:space="0" w:color="auto"/>
      </w:divBdr>
    </w:div>
    <w:div w:id="2103335122">
      <w:bodyDiv w:val="1"/>
      <w:marLeft w:val="0"/>
      <w:marRight w:val="0"/>
      <w:marTop w:val="0"/>
      <w:marBottom w:val="0"/>
      <w:divBdr>
        <w:top w:val="none" w:sz="0" w:space="0" w:color="auto"/>
        <w:left w:val="none" w:sz="0" w:space="0" w:color="auto"/>
        <w:bottom w:val="none" w:sz="0" w:space="0" w:color="auto"/>
        <w:right w:val="none" w:sz="0" w:space="0" w:color="auto"/>
      </w:divBdr>
      <w:divsChild>
        <w:div w:id="1767576978">
          <w:marLeft w:val="0"/>
          <w:marRight w:val="0"/>
          <w:marTop w:val="0"/>
          <w:marBottom w:val="0"/>
          <w:divBdr>
            <w:top w:val="none" w:sz="0" w:space="0" w:color="auto"/>
            <w:left w:val="none" w:sz="0" w:space="0" w:color="auto"/>
            <w:bottom w:val="none" w:sz="0" w:space="0" w:color="auto"/>
            <w:right w:val="none" w:sz="0" w:space="0" w:color="auto"/>
          </w:divBdr>
          <w:divsChild>
            <w:div w:id="1393308585">
              <w:marLeft w:val="0"/>
              <w:marRight w:val="0"/>
              <w:marTop w:val="0"/>
              <w:marBottom w:val="0"/>
              <w:divBdr>
                <w:top w:val="none" w:sz="0" w:space="0" w:color="auto"/>
                <w:left w:val="none" w:sz="0" w:space="0" w:color="auto"/>
                <w:bottom w:val="none" w:sz="0" w:space="0" w:color="auto"/>
                <w:right w:val="none" w:sz="0" w:space="0" w:color="auto"/>
              </w:divBdr>
              <w:divsChild>
                <w:div w:id="4860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opts-ng.com/corporate_social.php" TargetMode="External"/><Relationship Id="rId21" Type="http://schemas.openxmlformats.org/officeDocument/2006/relationships/hyperlink" Target="http://www.cenbank.org/rates/ExchRateByCurrency.asp" TargetMode="External"/><Relationship Id="rId22" Type="http://schemas.openxmlformats.org/officeDocument/2006/relationships/hyperlink" Target="http://devtracker.dfid.gov.uk/projects/GB-1-202585/" TargetMode="External"/><Relationship Id="rId23" Type="http://schemas.openxmlformats.org/officeDocument/2006/relationships/hyperlink" Target="http://www.vanguardngr.com/2011/02/niger-delta-development-chevron-usaid-strike-50m-partnership/" TargetMode="External"/><Relationship Id="rId24" Type="http://schemas.openxmlformats.org/officeDocument/2006/relationships/hyperlink" Target="http://www.ng.undp.org/content/nigeria/en/home/operations/projects/environment_and_energy/niger-delta-biodiversity-project.html" TargetMode="External"/><Relationship Id="rId25" Type="http://schemas.openxmlformats.org/officeDocument/2006/relationships/hyperlink" Target="http://www.worldbank.org/projects/P121455/state-employment-expenditure-results-project?lang=en" TargetMode="External"/><Relationship Id="rId26" Type="http://schemas.openxmlformats.org/officeDocument/2006/relationships/image" Target="media/image4.emf"/><Relationship Id="rId27" Type="http://schemas.openxmlformats.org/officeDocument/2006/relationships/footer" Target="footer3.xml"/><Relationship Id="rId28" Type="http://schemas.openxmlformats.org/officeDocument/2006/relationships/footer" Target="footer4.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3.emf"/><Relationship Id="rId16" Type="http://schemas.openxmlformats.org/officeDocument/2006/relationships/hyperlink" Target="http://neiti.org.ng/sites/default/files/pdf_uploads/NEITI-FASD-Audit-Report-2007-2011/Beneficiary-Agencies-Reports/NDDC-300614.pdf" TargetMode="External"/><Relationship Id="rId17" Type="http://schemas.openxmlformats.org/officeDocument/2006/relationships/hyperlink" Target="http://www.chevron.com/countries/nigeria/inthecommunity/" TargetMode="External"/><Relationship Id="rId18" Type="http://schemas.openxmlformats.org/officeDocument/2006/relationships/hyperlink" Target="http://s06.static-shell.com/content/dam/shell-new/local/country/nga/downloads/pdf/2013bnotes/improving-lives1.pdf" TargetMode="External"/><Relationship Id="rId19" Type="http://schemas.openxmlformats.org/officeDocument/2006/relationships/hyperlink" Target="http://seplatpetroleum.com/wp-content/uploads/2015/05/Seplat_webPDF_201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www.premiumtimesng.com/news/headlines/188697-nddc-diverted-n183bn-niger-delta-development-money-auditor-general-insists.html" TargetMode="External"/><Relationship Id="rId20" Type="http://schemas.openxmlformats.org/officeDocument/2006/relationships/hyperlink" Target="http://www.tandfonline.com/action/doSearch?action=runSearch&amp;type=advanced&amp;result=true&amp;prevSearch=%2Bauthorsfield%3A(Davidheiser%2C+Mark)" TargetMode="External"/><Relationship Id="rId21" Type="http://schemas.openxmlformats.org/officeDocument/2006/relationships/hyperlink" Target="http://www.tandfonline.com/action/doSearch?action=runSearch&amp;type=advanced&amp;result=true&amp;prevSearch=%2Bauthorsfield%3A(Nyiayaana%2C+Kialee)" TargetMode="External"/><Relationship Id="rId22" Type="http://schemas.openxmlformats.org/officeDocument/2006/relationships/hyperlink" Target="http://www.nigeriastat.gov.ng/uploads/latestRelease/2b1f54acea7189e402bc1d2b9d%20240305edd96c1.pdf" TargetMode="External"/><Relationship Id="rId23" Type="http://schemas.openxmlformats.org/officeDocument/2006/relationships/hyperlink" Target="http://www.wilsoncenter.org/sites/default/files/AFR_110929_Niger%20Delta_0113.pdf" TargetMode="External"/><Relationship Id="rId24" Type="http://schemas.openxmlformats.org/officeDocument/2006/relationships/hyperlink" Target="http://www.eadi.org/typo3/fileadmin/Documents/Events/General_Conference/2014/gc2014-abazie-humphrey-41.pdf" TargetMode="External"/><Relationship Id="rId10" Type="http://schemas.openxmlformats.org/officeDocument/2006/relationships/hyperlink" Target="http://www.nigerianstat.gov.ng/pages/download/60" TargetMode="External"/><Relationship Id="rId11" Type="http://schemas.openxmlformats.org/officeDocument/2006/relationships/hyperlink" Target="http://www.neiti.org.ng/sites/default/files/pdf_uploads/NEITI-FASD-Audit-Report-2007-2011/Beneficiary-Agencies-Reports/NDDC-300614.pdf" TargetMode="External"/><Relationship Id="rId12" Type="http://schemas.openxmlformats.org/officeDocument/2006/relationships/hyperlink" Target="http://garj.org/full-articles/sustainable-community-development-an-insight-into-the-niger-delta-development-commission-nddc-community-development-projects-in-abia-state.pdf?view=download" TargetMode="External"/><Relationship Id="rId13" Type="http://schemas.openxmlformats.org/officeDocument/2006/relationships/hyperlink" Target="http://www.ndpifoundation.org/images/researchreports/reports/Analysis-of-Community-Driven-Development-in-Nigerias-Niger-Delta-Region.pdf" TargetMode="External"/><Relationship Id="rId14" Type="http://schemas.openxmlformats.org/officeDocument/2006/relationships/hyperlink" Target="http://saction.org/books/Pardoning_Impunity.pdf" TargetMode="External"/><Relationship Id="rId15" Type="http://schemas.openxmlformats.org/officeDocument/2006/relationships/hyperlink" Target="http://www.neiti.org.ng/sites/default/files/pdf_uploads/NEITI-FASD-Audit-Report-2007-2011/Beneficiary-Agencies-Reports/NDDC-300614.pdf" TargetMode="External"/><Relationship Id="rId16" Type="http://schemas.openxmlformats.org/officeDocument/2006/relationships/hyperlink" Target="http://thenationonlineng.net/corruption-and-nddc/" TargetMode="External"/><Relationship Id="rId17" Type="http://schemas.openxmlformats.org/officeDocument/2006/relationships/hyperlink" Target="http://www.neiti.org.ng/sites/default/files/pdf_uploads/NEITI-FASD-Audit-Report-2007-2011/Beneficiary-Agencies-Reports/NDDC-300614.pdf" TargetMode="External"/><Relationship Id="rId18" Type="http://schemas.openxmlformats.org/officeDocument/2006/relationships/hyperlink" Target="http://ojs.st-andrews.ac.uk/index.php/jtr/article/view/830/709" TargetMode="External"/><Relationship Id="rId19" Type="http://schemas.openxmlformats.org/officeDocument/2006/relationships/hyperlink" Target="http://www.pindfoundation.org/wp-content/uploads/downloads/2015/08/PIND-Briefing-Aftermath-of-Presidential-Amensty-Programme-in-Niger-Delta-August-2015.pdf" TargetMode="External"/><Relationship Id="rId1" Type="http://schemas.openxmlformats.org/officeDocument/2006/relationships/hyperlink" Target="http://www.wilsoncenter.org/sites/default/files/AFR_110929_Niger%20Delta_0113.pdf" TargetMode="External"/><Relationship Id="rId2" Type="http://schemas.openxmlformats.org/officeDocument/2006/relationships/hyperlink" Target="http://saharareporters.com/2015/09/10/president-buhari-would-be-right-if-he-said-250000-barrels-crude-oil-stolen-day-nigeria" TargetMode="External"/><Relationship Id="rId3" Type="http://schemas.openxmlformats.org/officeDocument/2006/relationships/hyperlink" Target="http://www.thisdaylive.com/articles/neiti-ioc-reports-show-nigeria-lost-13-7bn-to-oil-theft-in-four-years/216405/" TargetMode="External"/><Relationship Id="rId4" Type="http://schemas.openxmlformats.org/officeDocument/2006/relationships/hyperlink" Target="http://www.bebor.org/wp-content/uploads/2012/09/UNDP-Niger-Delta-Human-Development-Report.pdf" TargetMode="External"/><Relationship Id="rId5" Type="http://schemas.openxmlformats.org/officeDocument/2006/relationships/hyperlink" Target="http://www.wds.worldbank.org/servlet/WDSContentServer/WDSP/IB/2000/11/10/000094946_00082605382641/%20Rendered/INDEX/multi_page.txt" TargetMode="External"/><Relationship Id="rId6" Type="http://schemas.openxmlformats.org/officeDocument/2006/relationships/hyperlink" Target="http://www.neiti.org/" TargetMode="External"/><Relationship Id="rId7" Type="http://schemas.openxmlformats.org/officeDocument/2006/relationships/hyperlink" Target="http://nnimmo.blogspot.com.ng/2012/08/the-hyprep-hype.html" TargetMode="External"/><Relationship Id="rId8" Type="http://schemas.openxmlformats.org/officeDocument/2006/relationships/hyperlink" Target="http://www.wsj.com/articles/SB10001424052702304019404577420160886588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C4F4-4F74-9146-8A31-BFCA877E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21964</Words>
  <Characters>125196</Characters>
  <Application>Microsoft Macintosh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nextier capital</Company>
  <LinksUpToDate>false</LinksUpToDate>
  <CharactersWithSpaces>146867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nextier capital</dc:creator>
  <cp:keywords/>
  <dc:description/>
  <cp:lastModifiedBy>Nextier Advisory1</cp:lastModifiedBy>
  <cp:revision>4</cp:revision>
  <cp:lastPrinted>2015-12-14T04:38:00Z</cp:lastPrinted>
  <dcterms:created xsi:type="dcterms:W3CDTF">2015-12-14T09:44:00Z</dcterms:created>
  <dcterms:modified xsi:type="dcterms:W3CDTF">2015-12-14T09:55:00Z</dcterms:modified>
</cp:coreProperties>
</file>